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832FE" w14:textId="77777777" w:rsidR="005D3968" w:rsidRDefault="005D3968" w:rsidP="005D3968"/>
    <w:p w14:paraId="6B3D1DB7" w14:textId="77777777" w:rsidR="005D3968" w:rsidRDefault="005D3968" w:rsidP="005D3968"/>
    <w:p w14:paraId="22A9F6A9" w14:textId="77777777" w:rsidR="005D3968" w:rsidRDefault="005D3968" w:rsidP="005D3968"/>
    <w:p w14:paraId="09CC0EFE" w14:textId="77777777" w:rsidR="005D3968" w:rsidRDefault="005D3968" w:rsidP="005D3968">
      <w:pPr>
        <w:rPr>
          <w:rFonts w:ascii="Avenir LT Std 55 Roman" w:hAnsi="Avenir LT Std 55 Roman"/>
          <w:b/>
          <w:color w:val="AC005D" w:themeColor="accent1" w:themeShade="BF"/>
          <w:sz w:val="36"/>
        </w:rPr>
      </w:pPr>
    </w:p>
    <w:p w14:paraId="4E3EF640" w14:textId="77777777" w:rsidR="005D3968" w:rsidRDefault="005D3968" w:rsidP="005D3968">
      <w:pPr>
        <w:rPr>
          <w:rFonts w:ascii="Avenir LT Std 55 Roman" w:hAnsi="Avenir LT Std 55 Roman"/>
          <w:b/>
          <w:color w:val="AC005D" w:themeColor="accent1" w:themeShade="BF"/>
          <w:sz w:val="36"/>
        </w:rPr>
      </w:pPr>
    </w:p>
    <w:p w14:paraId="3CF06CAF" w14:textId="77777777" w:rsidR="005D3968" w:rsidRDefault="005D3968" w:rsidP="005D3968">
      <w:pPr>
        <w:rPr>
          <w:rFonts w:ascii="Avenir LT Std 55 Roman" w:hAnsi="Avenir LT Std 55 Roman"/>
          <w:b/>
          <w:color w:val="AC005D" w:themeColor="accent1" w:themeShade="BF"/>
          <w:sz w:val="36"/>
        </w:rPr>
      </w:pPr>
    </w:p>
    <w:p w14:paraId="2E264F46" w14:textId="77777777" w:rsidR="005D3968" w:rsidRDefault="005D3968" w:rsidP="005D3968">
      <w:pPr>
        <w:rPr>
          <w:rFonts w:ascii="Avenir LT Std 55 Roman" w:hAnsi="Avenir LT Std 55 Roman"/>
          <w:b/>
          <w:color w:val="AC005D" w:themeColor="accent1" w:themeShade="BF"/>
          <w:sz w:val="36"/>
        </w:rPr>
      </w:pPr>
    </w:p>
    <w:p w14:paraId="6D686A90" w14:textId="7169FDD8" w:rsidR="005D3968" w:rsidRPr="009D56CE" w:rsidRDefault="005D3968" w:rsidP="005D3968">
      <w:pPr>
        <w:rPr>
          <w:rFonts w:ascii="Avenir LT Std 55 Roman" w:hAnsi="Avenir LT Std 55 Roman"/>
          <w:b/>
          <w:color w:val="AC005D" w:themeColor="accent1" w:themeShade="BF"/>
          <w:sz w:val="36"/>
        </w:rPr>
      </w:pPr>
      <w:r w:rsidRPr="009D56CE">
        <w:rPr>
          <w:rFonts w:ascii="Avenir LT Std 55 Roman" w:hAnsi="Avenir LT Std 55 Roman"/>
          <w:b/>
          <w:color w:val="AC005D" w:themeColor="accent1" w:themeShade="BF"/>
          <w:sz w:val="36"/>
        </w:rPr>
        <w:t>The long-term consequences of long-term disadvantage</w:t>
      </w:r>
    </w:p>
    <w:p w14:paraId="59CD06DB" w14:textId="77777777" w:rsidR="005D3968" w:rsidRDefault="005D3968" w:rsidP="005D3968">
      <w:pPr>
        <w:rPr>
          <w:rFonts w:ascii="Avenir LT Std 55 Roman" w:hAnsi="Avenir LT Std 55 Roman"/>
          <w:color w:val="AC005D" w:themeColor="accent1" w:themeShade="BF"/>
          <w:sz w:val="32"/>
        </w:rPr>
      </w:pPr>
      <w:r w:rsidRPr="009D56CE">
        <w:rPr>
          <w:rFonts w:ascii="Avenir LT Std 55 Roman" w:hAnsi="Avenir LT Std 55 Roman"/>
          <w:color w:val="AC005D" w:themeColor="accent1" w:themeShade="BF"/>
          <w:sz w:val="32"/>
        </w:rPr>
        <w:t>Report to the Northern Powerhouse Partnership</w:t>
      </w:r>
    </w:p>
    <w:p w14:paraId="298CD2CE" w14:textId="77777777" w:rsidR="005D3968" w:rsidRDefault="005D3968" w:rsidP="005D3968">
      <w:pPr>
        <w:rPr>
          <w:rFonts w:ascii="Avenir LT Std 55 Roman" w:hAnsi="Avenir LT Std 55 Roman"/>
          <w:color w:val="AC005D" w:themeColor="accent1" w:themeShade="BF"/>
          <w:sz w:val="32"/>
        </w:rPr>
      </w:pPr>
    </w:p>
    <w:p w14:paraId="1A7FFB1C" w14:textId="77777777" w:rsidR="005D3968" w:rsidRDefault="005D3968" w:rsidP="005D3968">
      <w:pPr>
        <w:rPr>
          <w:rFonts w:ascii="Avenir LT Std 55 Roman" w:hAnsi="Avenir LT Std 55 Roman"/>
          <w:color w:val="AC005D" w:themeColor="accent1" w:themeShade="BF"/>
          <w:sz w:val="32"/>
        </w:rPr>
      </w:pPr>
    </w:p>
    <w:p w14:paraId="3AD12595" w14:textId="0499E332" w:rsidR="005D3968" w:rsidRPr="009D56CE" w:rsidRDefault="005D3968" w:rsidP="005D3968">
      <w:pPr>
        <w:rPr>
          <w:color w:val="AC005D" w:themeColor="accent1" w:themeShade="BF"/>
        </w:rPr>
      </w:pPr>
    </w:p>
    <w:p w14:paraId="049B98C1" w14:textId="5C77510C" w:rsidR="005D3968" w:rsidRDefault="005D3968" w:rsidP="005D3968">
      <w:pPr>
        <w:rPr>
          <w:color w:val="AC005D" w:themeColor="accent1" w:themeShade="BF"/>
        </w:rPr>
      </w:pPr>
    </w:p>
    <w:p w14:paraId="686D2687" w14:textId="3E6BFBD5" w:rsidR="005D3968" w:rsidRDefault="005D3968" w:rsidP="005D3968">
      <w:pPr>
        <w:rPr>
          <w:color w:val="AC005D" w:themeColor="accent1" w:themeShade="BF"/>
        </w:rPr>
      </w:pPr>
    </w:p>
    <w:p w14:paraId="4FA8FEB5" w14:textId="77777777" w:rsidR="005D3968" w:rsidRPr="009D56CE" w:rsidRDefault="005D3968" w:rsidP="005D3968">
      <w:pPr>
        <w:rPr>
          <w:color w:val="AC005D" w:themeColor="accent1" w:themeShade="BF"/>
        </w:rPr>
      </w:pPr>
    </w:p>
    <w:p w14:paraId="603FCC7F" w14:textId="77777777" w:rsidR="005D3968" w:rsidRPr="009D56CE" w:rsidRDefault="005D3968" w:rsidP="005D3968">
      <w:pPr>
        <w:rPr>
          <w:color w:val="AC005D" w:themeColor="accent1" w:themeShade="BF"/>
        </w:rPr>
      </w:pPr>
    </w:p>
    <w:p w14:paraId="0A9520AC" w14:textId="77777777" w:rsidR="005D3968" w:rsidRPr="009D56CE" w:rsidRDefault="005D3968" w:rsidP="005D3968">
      <w:pPr>
        <w:rPr>
          <w:color w:val="AC005D" w:themeColor="accent1" w:themeShade="BF"/>
        </w:rPr>
      </w:pPr>
    </w:p>
    <w:p w14:paraId="1613159E" w14:textId="77777777" w:rsidR="005D3968" w:rsidRPr="009D56CE" w:rsidRDefault="005D3968" w:rsidP="005D3968">
      <w:pPr>
        <w:rPr>
          <w:color w:val="AC005D" w:themeColor="accent1" w:themeShade="BF"/>
        </w:rPr>
      </w:pPr>
    </w:p>
    <w:p w14:paraId="75310B89" w14:textId="77777777" w:rsidR="005D3968" w:rsidRPr="009D56CE" w:rsidRDefault="005D3968" w:rsidP="005D3968">
      <w:pPr>
        <w:rPr>
          <w:color w:val="AC005D" w:themeColor="accent1" w:themeShade="BF"/>
        </w:rPr>
      </w:pPr>
    </w:p>
    <w:p w14:paraId="75948F5C" w14:textId="5565684A" w:rsidR="005D3968" w:rsidRDefault="005D3968" w:rsidP="005D3968">
      <w:pPr>
        <w:jc w:val="right"/>
        <w:rPr>
          <w:b/>
          <w:color w:val="AC005D" w:themeColor="accent1" w:themeShade="BF"/>
          <w:sz w:val="24"/>
        </w:rPr>
      </w:pPr>
      <w:r>
        <w:rPr>
          <w:b/>
          <w:color w:val="AC005D" w:themeColor="accent1" w:themeShade="BF"/>
          <w:sz w:val="24"/>
        </w:rPr>
        <w:t>Katie Beynon</w:t>
      </w:r>
    </w:p>
    <w:p w14:paraId="2E5EC6F6" w14:textId="2F8EC8D3" w:rsidR="005D3968" w:rsidRPr="009D56CE" w:rsidRDefault="005D3968" w:rsidP="005D3968">
      <w:pPr>
        <w:jc w:val="right"/>
        <w:rPr>
          <w:b/>
          <w:color w:val="AC005D" w:themeColor="accent1" w:themeShade="BF"/>
          <w:sz w:val="24"/>
        </w:rPr>
      </w:pPr>
      <w:r>
        <w:rPr>
          <w:b/>
          <w:color w:val="AC005D" w:themeColor="accent1" w:themeShade="BF"/>
          <w:sz w:val="24"/>
        </w:rPr>
        <w:t>Dave Thomson</w:t>
      </w:r>
    </w:p>
    <w:p w14:paraId="5F4CC1B8" w14:textId="4C14E942" w:rsidR="005D3968" w:rsidRDefault="00E14893" w:rsidP="005D3968">
      <w:pPr>
        <w:jc w:val="right"/>
        <w:rPr>
          <w:b/>
          <w:color w:val="AC005D" w:themeColor="accent1" w:themeShade="BF"/>
          <w:sz w:val="24"/>
        </w:rPr>
      </w:pPr>
      <w:r>
        <w:rPr>
          <w:b/>
          <w:color w:val="AC005D" w:themeColor="accent1" w:themeShade="BF"/>
          <w:sz w:val="24"/>
        </w:rPr>
        <w:t>October</w:t>
      </w:r>
      <w:bookmarkStart w:id="0" w:name="_GoBack"/>
      <w:bookmarkEnd w:id="0"/>
      <w:r w:rsidR="005D3968" w:rsidRPr="009D56CE">
        <w:rPr>
          <w:b/>
          <w:color w:val="AC005D" w:themeColor="accent1" w:themeShade="BF"/>
          <w:sz w:val="24"/>
        </w:rPr>
        <w:t xml:space="preserve"> 2022</w:t>
      </w:r>
    </w:p>
    <w:p w14:paraId="5BA6B493" w14:textId="256A4013" w:rsidR="005D3968" w:rsidRDefault="005D3968" w:rsidP="005D3968">
      <w:pPr>
        <w:jc w:val="right"/>
        <w:rPr>
          <w:b/>
          <w:color w:val="AC005D" w:themeColor="accent1" w:themeShade="BF"/>
          <w:sz w:val="24"/>
        </w:rPr>
      </w:pPr>
    </w:p>
    <w:p w14:paraId="7828D61E" w14:textId="51AB2619" w:rsidR="005D3968" w:rsidRDefault="005D3968" w:rsidP="005D3968">
      <w:pPr>
        <w:jc w:val="right"/>
        <w:rPr>
          <w:b/>
          <w:color w:val="AC005D" w:themeColor="accent1" w:themeShade="BF"/>
          <w:sz w:val="24"/>
        </w:rPr>
      </w:pPr>
    </w:p>
    <w:p w14:paraId="2DE167D2" w14:textId="3B58BBDB" w:rsidR="005D3968" w:rsidRDefault="005D3968" w:rsidP="005D3968">
      <w:pPr>
        <w:jc w:val="right"/>
        <w:rPr>
          <w:b/>
          <w:color w:val="AC005D" w:themeColor="accent1" w:themeShade="BF"/>
          <w:sz w:val="24"/>
        </w:rPr>
      </w:pPr>
    </w:p>
    <w:p w14:paraId="562B8EDC" w14:textId="601460A4" w:rsidR="005D3968" w:rsidRDefault="005D3968" w:rsidP="005D3968">
      <w:pPr>
        <w:jc w:val="right"/>
        <w:rPr>
          <w:b/>
          <w:color w:val="AC005D" w:themeColor="accent1" w:themeShade="BF"/>
          <w:sz w:val="24"/>
        </w:rPr>
      </w:pPr>
    </w:p>
    <w:p w14:paraId="08CC61CD" w14:textId="23D0B05E" w:rsidR="005D3968" w:rsidRDefault="005D3968" w:rsidP="005D3968">
      <w:pPr>
        <w:jc w:val="right"/>
        <w:rPr>
          <w:b/>
          <w:color w:val="AC005D" w:themeColor="accent1" w:themeShade="BF"/>
          <w:sz w:val="24"/>
        </w:rPr>
      </w:pPr>
    </w:p>
    <w:p w14:paraId="0F35AE2D" w14:textId="28DA808C" w:rsidR="005D3968" w:rsidRDefault="005D3968" w:rsidP="005D3968">
      <w:pPr>
        <w:pStyle w:val="Heading1"/>
      </w:pPr>
      <w:r>
        <w:lastRenderedPageBreak/>
        <w:t>Executive Summary</w:t>
      </w:r>
    </w:p>
    <w:p w14:paraId="61823D52" w14:textId="77777777" w:rsidR="005D3968" w:rsidRPr="005D3968" w:rsidRDefault="005D3968" w:rsidP="005D3968"/>
    <w:p w14:paraId="1967B6F6" w14:textId="77777777" w:rsidR="005D3968" w:rsidRDefault="005D3968" w:rsidP="005D3968">
      <w:pPr>
        <w:pStyle w:val="ListParagraph"/>
        <w:numPr>
          <w:ilvl w:val="0"/>
          <w:numId w:val="9"/>
        </w:numPr>
      </w:pPr>
      <w:r>
        <w:t xml:space="preserve">We look at how long-term educational and economic outcomes for a cohort of pupils vary by the length of time they were eligible for free school meals (FSM) at school. Of particular interest is the group of pupils who spent at least 80% of school terms eligible for FSM – the long-term disadvantaged group (LTD). </w:t>
      </w:r>
    </w:p>
    <w:p w14:paraId="3AE2C133" w14:textId="77777777" w:rsidR="005D3968" w:rsidRDefault="005D3968" w:rsidP="005D3968">
      <w:pPr>
        <w:pStyle w:val="ListParagraph"/>
        <w:numPr>
          <w:ilvl w:val="0"/>
          <w:numId w:val="9"/>
        </w:numPr>
      </w:pPr>
      <w:r>
        <w:t>Nationally, around 8% of individuals were long-term disadvantaged at school. London had the greatest proportion (15%) followed by the North East (12%) and North West (11%). The East, South West and South East had the lowest proportion (4%).</w:t>
      </w:r>
    </w:p>
    <w:p w14:paraId="281AA675" w14:textId="77777777" w:rsidR="005D3968" w:rsidRDefault="005D3968" w:rsidP="005D3968">
      <w:pPr>
        <w:pStyle w:val="ListParagraph"/>
        <w:numPr>
          <w:ilvl w:val="0"/>
          <w:numId w:val="9"/>
        </w:numPr>
      </w:pPr>
      <w:r>
        <w:t>Long-term disadvantage was associated with other school-age characteristics known be related to lower educational outcomes. Long-term disadvantaged individuals had lower attainment at Key Stage 2, and a higher incidence of Special Educational Needs (SEN) identification.</w:t>
      </w:r>
    </w:p>
    <w:p w14:paraId="2170A3AF" w14:textId="77777777" w:rsidR="005D3968" w:rsidRDefault="005D3968" w:rsidP="005D3968">
      <w:pPr>
        <w:pStyle w:val="ListParagraph"/>
        <w:numPr>
          <w:ilvl w:val="0"/>
          <w:numId w:val="9"/>
        </w:numPr>
      </w:pPr>
      <w:r>
        <w:t xml:space="preserve">Nationally, LTD pupils were around 30% less likely than those who had never been eligible for FSM to be observed in sustained study or employment at age 22 (61% of LTD pupils vs 85% of never FSM) and around six times more likely to be receiving workless benefits (30% of LTD pupils vs 5% of never FSM pupils). </w:t>
      </w:r>
    </w:p>
    <w:p w14:paraId="7944277E" w14:textId="77777777" w:rsidR="005D3968" w:rsidRDefault="005D3968" w:rsidP="005D3968">
      <w:pPr>
        <w:pStyle w:val="ListParagraph"/>
        <w:numPr>
          <w:ilvl w:val="0"/>
          <w:numId w:val="9"/>
        </w:numPr>
      </w:pPr>
      <w:r>
        <w:t>Their qualification rates were also much lower, and they were much less likely to progress to degree-level study. (37% of LTD pupils achieved the equivalent of at least 2 A-levels by age 22 compared with 71% of never FSM pupils. And 24% of LTD pupils were participating in degree-level study at age 21 compared with 46% of never FSM pupils).</w:t>
      </w:r>
    </w:p>
    <w:p w14:paraId="46AC1272" w14:textId="77777777" w:rsidR="005D3968" w:rsidRDefault="005D3968" w:rsidP="005D3968">
      <w:pPr>
        <w:pStyle w:val="ListParagraph"/>
        <w:numPr>
          <w:ilvl w:val="0"/>
          <w:numId w:val="9"/>
        </w:numPr>
      </w:pPr>
      <w:r>
        <w:t>Gaps in outcomes between LTD and never FSM pupils varied considerably by ethnicity. For example, 24% of LTD White British pupils achieved the equivalent of at least 2 A-levels by age 22 compared with 70% of White British never FSM pupils – a gap of 46 percentage points.  For Chinese pupils, the equivalent figures are 78% and 89% - a gap of 11 percentage points.</w:t>
      </w:r>
    </w:p>
    <w:p w14:paraId="524C7B0D" w14:textId="77777777" w:rsidR="005D3968" w:rsidRDefault="005D3968" w:rsidP="005D3968">
      <w:pPr>
        <w:pStyle w:val="ListParagraph"/>
        <w:numPr>
          <w:ilvl w:val="0"/>
          <w:numId w:val="9"/>
        </w:numPr>
      </w:pPr>
      <w:r>
        <w:t>Outcomes for LTD pupils in London were substantially better than elsewhere. For example, 69% of LTD pupils in London were observed in sustained study or employment at age 22 compared with 54% in the North East (the region with the lowest outcomes for LTD pupils).</w:t>
      </w:r>
    </w:p>
    <w:p w14:paraId="72A98506" w14:textId="77777777" w:rsidR="005D3968" w:rsidRDefault="005D3968" w:rsidP="005D3968">
      <w:pPr>
        <w:pStyle w:val="ListParagraph"/>
        <w:numPr>
          <w:ilvl w:val="0"/>
          <w:numId w:val="9"/>
        </w:numPr>
      </w:pPr>
      <w:r>
        <w:t>When looking at outcomes separately by ethnic grouping, London still led the other regions in qualification rates and progression to degree-level study, albeit by a smaller margin. This suggests than much, but not all, of London’s lead is related to the ethnic composition of its LTD pupils.</w:t>
      </w:r>
    </w:p>
    <w:p w14:paraId="2C89932C" w14:textId="14A8EC36" w:rsidR="005D3968" w:rsidRDefault="005D3968" w:rsidP="005D3968">
      <w:pPr>
        <w:pStyle w:val="ListParagraph"/>
        <w:numPr>
          <w:ilvl w:val="0"/>
          <w:numId w:val="9"/>
        </w:numPr>
      </w:pPr>
      <w:r>
        <w:t>Around 33% of LTD pupils in the capital were from an ethnic background where</w:t>
      </w:r>
      <w:r>
        <w:t xml:space="preserve"> </w:t>
      </w:r>
      <w:r>
        <w:t>disadvantage has been shown by previous research to have a high impact on educational outcomes (mostly White British, but also Black Caribbean and Mixed White and Black Caribbean) compared with 94% of LTD pupils in the North East.</w:t>
      </w:r>
    </w:p>
    <w:p w14:paraId="34DFCEEF" w14:textId="77777777" w:rsidR="005D3968" w:rsidRDefault="005D3968" w:rsidP="005D3968">
      <w:pPr>
        <w:pStyle w:val="ListParagraph"/>
      </w:pPr>
    </w:p>
    <w:p w14:paraId="500948AB" w14:textId="77777777" w:rsidR="005D3968" w:rsidRPr="009D56CE" w:rsidRDefault="005D3968" w:rsidP="005D3968">
      <w:pPr>
        <w:jc w:val="right"/>
        <w:rPr>
          <w:b/>
          <w:color w:val="AC005D" w:themeColor="accent1" w:themeShade="BF"/>
          <w:sz w:val="24"/>
        </w:rPr>
        <w:sectPr w:rsidR="005D3968" w:rsidRPr="009D56CE" w:rsidSect="00DA0CC7">
          <w:pgSz w:w="11906" w:h="16838"/>
          <w:pgMar w:top="1440" w:right="1440" w:bottom="1440" w:left="1440" w:header="708" w:footer="708" w:gutter="0"/>
          <w:cols w:space="708"/>
          <w:titlePg/>
          <w:docGrid w:linePitch="360"/>
        </w:sectPr>
      </w:pPr>
    </w:p>
    <w:p w14:paraId="4FE439CE" w14:textId="34DFE0C3" w:rsidR="001C64CB" w:rsidRDefault="005D3968" w:rsidP="00DA0CC7">
      <w:pPr>
        <w:pStyle w:val="Heading1"/>
      </w:pPr>
      <w:r>
        <w:lastRenderedPageBreak/>
        <w:t>Th</w:t>
      </w:r>
      <w:r w:rsidR="001C64CB" w:rsidRPr="00AF4302">
        <w:t>e long-term consequences of long-term disadvantage</w:t>
      </w:r>
    </w:p>
    <w:p w14:paraId="43B70F6E" w14:textId="77777777" w:rsidR="00B65D6E" w:rsidRPr="00B65D6E" w:rsidRDefault="00B65D6E" w:rsidP="00B65D6E"/>
    <w:p w14:paraId="26AA1341" w14:textId="3751F24C" w:rsidR="00B65D6E" w:rsidRDefault="00B65D6E" w:rsidP="001C64CB">
      <w:pPr>
        <w:pStyle w:val="Heading2"/>
      </w:pPr>
      <w:r>
        <w:t>Acknowledgements</w:t>
      </w:r>
    </w:p>
    <w:p w14:paraId="5DC90C3F" w14:textId="60D7DA68" w:rsidR="00B65D6E" w:rsidRDefault="00B65D6E" w:rsidP="00B65D6E">
      <w:r w:rsidRPr="006E5ADC">
        <w:t>This work contains statistical data from ONS which is Crown Copyright. The use of ONS statistical data in this work does not imply the endorsement of ONS in relation to the interpretation or analysis of the statistical data. This work uses research datasets which may not exactly reproduce National Statistics aggregates.</w:t>
      </w:r>
    </w:p>
    <w:p w14:paraId="53E2B3C1" w14:textId="77777777" w:rsidR="00B65D6E" w:rsidRPr="00B65D6E" w:rsidRDefault="00B65D6E" w:rsidP="00B65D6E"/>
    <w:p w14:paraId="79259B35" w14:textId="2B50766E" w:rsidR="001C64CB" w:rsidRPr="00AF4302" w:rsidRDefault="00492796" w:rsidP="001C64CB">
      <w:pPr>
        <w:pStyle w:val="Heading2"/>
      </w:pPr>
      <w:r>
        <w:t xml:space="preserve">1. </w:t>
      </w:r>
      <w:r w:rsidR="001C64CB" w:rsidRPr="00AF4302">
        <w:t>Introduction</w:t>
      </w:r>
    </w:p>
    <w:p w14:paraId="2CC4AB03" w14:textId="679FADE7" w:rsidR="000D16F6" w:rsidRDefault="000D16F6" w:rsidP="00EA58BF">
      <w:r w:rsidRPr="000D16F6">
        <w:t>We’ve been writing for a number of years</w:t>
      </w:r>
      <w:r w:rsidR="005A588F">
        <w:rPr>
          <w:rStyle w:val="EndnoteReference"/>
        </w:rPr>
        <w:endnoteReference w:id="1"/>
      </w:r>
      <w:r w:rsidRPr="000D16F6">
        <w:t xml:space="preserve"> about the relationship between</w:t>
      </w:r>
      <w:r w:rsidR="00E9238D">
        <w:t xml:space="preserve"> </w:t>
      </w:r>
      <w:r w:rsidRPr="000D16F6">
        <w:t>attainment and the amount of time pupils have been eligible for free school meals</w:t>
      </w:r>
      <w:r w:rsidR="005A588F">
        <w:t xml:space="preserve"> (FSM)</w:t>
      </w:r>
      <w:r w:rsidRPr="000D16F6">
        <w:t>.</w:t>
      </w:r>
      <w:r w:rsidR="005A588F">
        <w:t xml:space="preserve"> We’ve also written</w:t>
      </w:r>
      <w:r w:rsidR="008F7B27">
        <w:rPr>
          <w:rStyle w:val="EndnoteReference"/>
        </w:rPr>
        <w:endnoteReference w:id="2"/>
      </w:r>
      <w:r w:rsidR="005A588F">
        <w:t xml:space="preserve"> about how this relationship differs between pupils from different ethnic backgrounds.</w:t>
      </w:r>
    </w:p>
    <w:p w14:paraId="682C0A47" w14:textId="6113D8BE" w:rsidR="00EA58BF" w:rsidRDefault="00EA58BF" w:rsidP="00EA58BF">
      <w:r>
        <w:t>We now go beyond this analysis to examine the longer-term outcomes of long-term disadvantage. This includes post-school qualifications, employment and earnings.</w:t>
      </w:r>
      <w:r w:rsidR="005A588F">
        <w:t xml:space="preserve"> We focus on a small number of key outcomes in this report, with additional outcomes </w:t>
      </w:r>
      <w:r w:rsidR="00F821E9">
        <w:t>provided</w:t>
      </w:r>
      <w:r w:rsidR="005A588F">
        <w:t xml:space="preserve"> </w:t>
      </w:r>
      <w:r w:rsidR="00F821E9">
        <w:t>as an</w:t>
      </w:r>
      <w:r w:rsidR="005A588F">
        <w:t xml:space="preserve"> Appendix.</w:t>
      </w:r>
    </w:p>
    <w:p w14:paraId="3B68DEA8" w14:textId="5909CDE1" w:rsidR="00AA5D2C" w:rsidRPr="00AF4302" w:rsidRDefault="00AA5D2C" w:rsidP="00AA5D2C">
      <w:r w:rsidRPr="00AF4302">
        <w:t xml:space="preserve">There are three </w:t>
      </w:r>
      <w:r w:rsidR="00016A8A" w:rsidRPr="00AF4302">
        <w:t xml:space="preserve">recent </w:t>
      </w:r>
      <w:r w:rsidRPr="00AF4302">
        <w:t xml:space="preserve">pieces of work in this domain that this study aims to build upon. </w:t>
      </w:r>
    </w:p>
    <w:p w14:paraId="413299FD" w14:textId="0A9A643A" w:rsidR="00AA5D2C" w:rsidRPr="00AF4302" w:rsidRDefault="00AA5D2C" w:rsidP="00AA5D2C">
      <w:r w:rsidRPr="00AF4302">
        <w:t>The first is the IFS’s recently published review</w:t>
      </w:r>
      <w:r w:rsidRPr="00AF4302">
        <w:rPr>
          <w:rStyle w:val="EndnoteReference"/>
        </w:rPr>
        <w:endnoteReference w:id="3"/>
      </w:r>
      <w:r w:rsidRPr="00AF4302">
        <w:t xml:space="preserve"> of existing work on education inequalities. They looked at how education outcomes vary by gender, socio-economic status, ethnicity and region. </w:t>
      </w:r>
      <w:r w:rsidR="00F86884">
        <w:t>T</w:t>
      </w:r>
      <w:r w:rsidRPr="00AF4302">
        <w:t xml:space="preserve">hey </w:t>
      </w:r>
      <w:r w:rsidR="00F86884">
        <w:t>then examined</w:t>
      </w:r>
      <w:r w:rsidRPr="00AF4302">
        <w:t xml:space="preserve"> how differences in education outcomes are related to differences in life outcomes.</w:t>
      </w:r>
    </w:p>
    <w:p w14:paraId="4D4A5946" w14:textId="77777777" w:rsidR="00AA5D2C" w:rsidRPr="00AF4302" w:rsidRDefault="00AA5D2C" w:rsidP="00AA5D2C">
      <w:r w:rsidRPr="00AF4302">
        <w:t>The second</w:t>
      </w:r>
      <w:r w:rsidRPr="00AF4302">
        <w:rPr>
          <w:rStyle w:val="EndnoteReference"/>
        </w:rPr>
        <w:endnoteReference w:id="4"/>
      </w:r>
      <w:r w:rsidRPr="00AF4302">
        <w:t xml:space="preserve"> and third</w:t>
      </w:r>
      <w:r w:rsidRPr="00AF4302">
        <w:rPr>
          <w:rStyle w:val="EndnoteReference"/>
        </w:rPr>
        <w:endnoteReference w:id="5"/>
      </w:r>
      <w:r w:rsidRPr="00AF4302">
        <w:t xml:space="preserve"> are pieces of analysis published by the ONS looking at long-term outcomes for disadvantaged pupils.</w:t>
      </w:r>
    </w:p>
    <w:p w14:paraId="384FAE84" w14:textId="3B16C323" w:rsidR="00AA5D2C" w:rsidRDefault="00AA5D2C" w:rsidP="00AA5D2C">
      <w:r w:rsidRPr="00AF4302">
        <w:t>Much of this work looked at variation in outcomes by pupils’ eligibility for free school meals (FSM) at a single point in time (for example, in the year GCSEs were taken). We build on this by considering pupils’ FSM eligibility over their entire school careers. Additionally, while they were primarily concerned with pupil disadvantage in general terms, it is the persistence of disadvantage over time that we are concerned with.</w:t>
      </w:r>
    </w:p>
    <w:p w14:paraId="7348EF40" w14:textId="77777777" w:rsidR="00B65D6E" w:rsidRPr="00AF4302" w:rsidRDefault="00B65D6E" w:rsidP="00AA5D2C"/>
    <w:p w14:paraId="27C256C9" w14:textId="11E90317" w:rsidR="001C64CB" w:rsidRPr="00AF4302" w:rsidRDefault="00492796" w:rsidP="001C64CB">
      <w:pPr>
        <w:pStyle w:val="Heading2"/>
      </w:pPr>
      <w:r>
        <w:t xml:space="preserve">2. </w:t>
      </w:r>
      <w:r w:rsidR="001C64CB" w:rsidRPr="00AF4302">
        <w:t>Data</w:t>
      </w:r>
    </w:p>
    <w:p w14:paraId="65882F37" w14:textId="3328479F" w:rsidR="001C64CB" w:rsidRPr="00AF4302" w:rsidRDefault="00492796" w:rsidP="001C64CB">
      <w:pPr>
        <w:pStyle w:val="Heading3"/>
      </w:pPr>
      <w:r>
        <w:t xml:space="preserve">2.1. </w:t>
      </w:r>
      <w:r w:rsidR="001C64CB" w:rsidRPr="00AF4302">
        <w:t>Background</w:t>
      </w:r>
    </w:p>
    <w:p w14:paraId="348834C9" w14:textId="77777777" w:rsidR="001C64CB" w:rsidRPr="00AF4302" w:rsidRDefault="001C64CB" w:rsidP="001C64CB">
      <w:r w:rsidRPr="00AF4302">
        <w:t>We use linked data from the National Pupil Database (NPD) and Longitudinal Educational Outcomes (LEO) dataset.</w:t>
      </w:r>
    </w:p>
    <w:p w14:paraId="685DDAC2" w14:textId="77777777" w:rsidR="001C64CB" w:rsidRPr="00AF4302" w:rsidRDefault="001C64CB" w:rsidP="001C64CB">
      <w:r w:rsidRPr="00AF4302">
        <w:t xml:space="preserve">NPD provides an almost complete history of enrolments in state-funded schools in England, together with data on attainment, absence and exclusions. It has also been linked to other educational datasets such as </w:t>
      </w:r>
    </w:p>
    <w:p w14:paraId="739E3936" w14:textId="77777777" w:rsidR="001C64CB" w:rsidRPr="00AF4302" w:rsidRDefault="001C64CB" w:rsidP="001C64CB">
      <w:pPr>
        <w:pStyle w:val="ListParagraph"/>
        <w:numPr>
          <w:ilvl w:val="0"/>
          <w:numId w:val="5"/>
        </w:numPr>
        <w:spacing w:line="256" w:lineRule="auto"/>
      </w:pPr>
      <w:r w:rsidRPr="00AF4302">
        <w:t>the National Client Caseload Information System (NCCIS), which records activities undertaken in the first two years post-16</w:t>
      </w:r>
    </w:p>
    <w:p w14:paraId="1805CCAC" w14:textId="77777777" w:rsidR="001C64CB" w:rsidRPr="00AF4302" w:rsidRDefault="001C64CB" w:rsidP="001C64CB">
      <w:pPr>
        <w:pStyle w:val="ListParagraph"/>
        <w:numPr>
          <w:ilvl w:val="0"/>
          <w:numId w:val="5"/>
        </w:numPr>
        <w:spacing w:line="256" w:lineRule="auto"/>
      </w:pPr>
      <w:r w:rsidRPr="00AF4302">
        <w:lastRenderedPageBreak/>
        <w:t>the Local Authority Alternative Provision Census, which records educational provision paid for by local authorities but delivered outside the state-funded school system (e.g. independent schools)</w:t>
      </w:r>
    </w:p>
    <w:p w14:paraId="3189A64C" w14:textId="77777777" w:rsidR="001C64CB" w:rsidRPr="00AF4302" w:rsidRDefault="001C64CB" w:rsidP="001C64CB">
      <w:pPr>
        <w:pStyle w:val="ListParagraph"/>
        <w:numPr>
          <w:ilvl w:val="0"/>
          <w:numId w:val="5"/>
        </w:numPr>
        <w:spacing w:line="256" w:lineRule="auto"/>
      </w:pPr>
      <w:r w:rsidRPr="00AF4302">
        <w:t>the Young Persons Matched Administrative Dataset (YPMAD), which records qualifications held at Level 3 of the National Qualifications Framework (A level and equivalent) and below from age 16 upwards.</w:t>
      </w:r>
    </w:p>
    <w:p w14:paraId="08BD73DA" w14:textId="77777777" w:rsidR="001C64CB" w:rsidRPr="00AF4302" w:rsidRDefault="001C64CB" w:rsidP="001C64CB">
      <w:r w:rsidRPr="00AF4302">
        <w:t>The LEO dataset provides details of labour market participation including annual earnings, spells of employment and state benefits received. Details of qualifications/ courses studied post-16 within the further and higher education sectors are also available via the Individualised Learner Record (ILR) and Higher Education Statistics Agency (HESA) student record. These datasets cover the UK apart from ILR which is limited to England.</w:t>
      </w:r>
    </w:p>
    <w:p w14:paraId="6712152F" w14:textId="48DC215E" w:rsidR="001C64CB" w:rsidRPr="00AF4302" w:rsidRDefault="00492796" w:rsidP="001C64CB">
      <w:pPr>
        <w:pStyle w:val="Heading3"/>
      </w:pPr>
      <w:r>
        <w:t xml:space="preserve">2.2. </w:t>
      </w:r>
      <w:r w:rsidR="001C64CB" w:rsidRPr="00AF4302">
        <w:t>Defining cohorts</w:t>
      </w:r>
    </w:p>
    <w:p w14:paraId="3BC3A59C" w14:textId="77777777" w:rsidR="001C64CB" w:rsidRPr="00AF4302" w:rsidRDefault="001C64CB" w:rsidP="001C64CB">
      <w:r w:rsidRPr="00AF4302">
        <w:t>The aim of the project is to examine the longer-term outcomes of being disadvantaged while at school. Disadvantage is defined as the percentage of terms pupils are observed in School Census as being eligible for free school meals (FSM) from Reception to Year 11 (age 5 to 16).</w:t>
      </w:r>
    </w:p>
    <w:p w14:paraId="5BB51CF9" w14:textId="77777777" w:rsidR="001C64CB" w:rsidRPr="00AF4302" w:rsidRDefault="001C64CB" w:rsidP="001C64CB">
      <w:r w:rsidRPr="00AF4302">
        <w:t>This means we need to observe FSM history over a twelve year period. As the first School Census took place in January 2002, the oldest cohort we include are those in Reception that year and who would have reached the end of compulsory schooling (Year 11) in 2013. These pupils were born between 1</w:t>
      </w:r>
      <w:r w:rsidRPr="00AF4302">
        <w:rPr>
          <w:vertAlign w:val="superscript"/>
        </w:rPr>
        <w:t>st</w:t>
      </w:r>
      <w:r w:rsidRPr="00AF4302">
        <w:t xml:space="preserve"> September 1996 and 31</w:t>
      </w:r>
      <w:r w:rsidRPr="00AF4302">
        <w:rPr>
          <w:vertAlign w:val="superscript"/>
        </w:rPr>
        <w:t>st</w:t>
      </w:r>
      <w:r w:rsidRPr="00AF4302">
        <w:t xml:space="preserve"> August 1997. We also include the two cohorts born between 1</w:t>
      </w:r>
      <w:r w:rsidRPr="00AF4302">
        <w:rPr>
          <w:vertAlign w:val="superscript"/>
        </w:rPr>
        <w:t>st</w:t>
      </w:r>
      <w:r w:rsidRPr="00AF4302">
        <w:t xml:space="preserve"> September 1997 and 31</w:t>
      </w:r>
      <w:r w:rsidRPr="00AF4302">
        <w:rPr>
          <w:vertAlign w:val="superscript"/>
        </w:rPr>
        <w:t>st</w:t>
      </w:r>
      <w:r w:rsidRPr="00AF4302">
        <w:t xml:space="preserve"> August 1999.</w:t>
      </w:r>
    </w:p>
    <w:p w14:paraId="4E256B5A" w14:textId="735AD842" w:rsidR="001C64CB" w:rsidRPr="00AF4302" w:rsidRDefault="001C64CB" w:rsidP="001C64CB">
      <w:r w:rsidRPr="00AF4302">
        <w:t>We include in the cohorts all pupils we observe from Year 7 (age 12) to Year 11 (age 16) in state-funded schools (mainstream, special, alternative provision) and young people in local authority alternative provision. This means we do not include pupils who were observed attending state-funded primary schools but not secondary schools. These pupils may have entered the independent sector or migrated to other parts of the UK or overseas.</w:t>
      </w:r>
    </w:p>
    <w:p w14:paraId="7F2746E5" w14:textId="401672A8" w:rsidR="001C64CB" w:rsidRPr="00AF4302" w:rsidRDefault="001C64CB" w:rsidP="001C64CB">
      <w:r w:rsidRPr="00AF4302">
        <w:t>We label each cohort with the year in which they would have been expected to finish Key Stage 4.</w:t>
      </w:r>
    </w:p>
    <w:p w14:paraId="0C942EF2" w14:textId="31A80D11" w:rsidR="001C64CB" w:rsidRPr="00AF4302" w:rsidRDefault="00492796" w:rsidP="001C64CB">
      <w:pPr>
        <w:pStyle w:val="Heading3"/>
      </w:pPr>
      <w:r>
        <w:t xml:space="preserve">2.3. </w:t>
      </w:r>
      <w:r w:rsidR="001C64CB" w:rsidRPr="00AF4302">
        <w:t xml:space="preserve">Defining </w:t>
      </w:r>
      <w:r w:rsidR="00A3183D">
        <w:t>o</w:t>
      </w:r>
      <w:r w:rsidR="001C64CB" w:rsidRPr="00AF4302">
        <w:t>utcomes</w:t>
      </w:r>
    </w:p>
    <w:p w14:paraId="2BD9A5D3" w14:textId="77777777" w:rsidR="001C64CB" w:rsidRPr="00AF4302" w:rsidRDefault="001C64CB" w:rsidP="001C64CB">
      <w:r w:rsidRPr="00AF4302">
        <w:t>We create a set of post-16 outcome measures covering education and labour market participation for each academic year post compulsory schooling.</w:t>
      </w:r>
    </w:p>
    <w:p w14:paraId="57BB5410" w14:textId="77777777" w:rsidR="001C64CB" w:rsidRPr="00AF4302" w:rsidRDefault="001C64CB" w:rsidP="001C64CB">
      <w:r w:rsidRPr="00AF4302">
        <w:t>The measures cover</w:t>
      </w:r>
    </w:p>
    <w:p w14:paraId="4894BD6F" w14:textId="06C192D4" w:rsidR="001C64CB" w:rsidRPr="00AF4302" w:rsidRDefault="001C64CB" w:rsidP="001C64CB">
      <w:pPr>
        <w:pStyle w:val="ListParagraph"/>
        <w:numPr>
          <w:ilvl w:val="0"/>
          <w:numId w:val="6"/>
        </w:numPr>
        <w:spacing w:line="256" w:lineRule="auto"/>
      </w:pPr>
      <w:r w:rsidRPr="00AF4302">
        <w:t xml:space="preserve">Highest level of qualification, sourced from YPMAD for qualifications up to </w:t>
      </w:r>
      <w:r w:rsidR="00D7721A">
        <w:t xml:space="preserve">NQF </w:t>
      </w:r>
      <w:r w:rsidRPr="00AF4302">
        <w:t>level 3 and from ILR and HESA for qualifications at NQF level 4 and above</w:t>
      </w:r>
      <w:bookmarkStart w:id="1" w:name="_Ref112343747"/>
      <w:r w:rsidR="00D7721A">
        <w:rPr>
          <w:rStyle w:val="EndnoteReference"/>
        </w:rPr>
        <w:endnoteReference w:id="6"/>
      </w:r>
      <w:bookmarkEnd w:id="1"/>
    </w:p>
    <w:p w14:paraId="0D341A14" w14:textId="0AB61A87" w:rsidR="001C64CB" w:rsidRPr="00AF4302" w:rsidRDefault="00CB05E1" w:rsidP="001C64CB">
      <w:pPr>
        <w:pStyle w:val="ListParagraph"/>
        <w:numPr>
          <w:ilvl w:val="0"/>
          <w:numId w:val="6"/>
        </w:numPr>
        <w:spacing w:line="256" w:lineRule="auto"/>
      </w:pPr>
      <w:r>
        <w:t xml:space="preserve">Achievement of a grade C/4 in </w:t>
      </w:r>
      <w:r w:rsidR="001C64CB" w:rsidRPr="00AF4302">
        <w:t>GCSE English</w:t>
      </w:r>
    </w:p>
    <w:p w14:paraId="22D92112" w14:textId="4AB588B0" w:rsidR="001C64CB" w:rsidRPr="00AF4302" w:rsidRDefault="00CB05E1" w:rsidP="001C64CB">
      <w:pPr>
        <w:pStyle w:val="ListParagraph"/>
        <w:numPr>
          <w:ilvl w:val="0"/>
          <w:numId w:val="6"/>
        </w:numPr>
        <w:spacing w:line="256" w:lineRule="auto"/>
      </w:pPr>
      <w:r>
        <w:t>Achievement of a grade C/4 in</w:t>
      </w:r>
      <w:r w:rsidR="001C64CB" w:rsidRPr="00AF4302">
        <w:t xml:space="preserve"> GCSE maths</w:t>
      </w:r>
    </w:p>
    <w:p w14:paraId="7ED68507" w14:textId="77777777" w:rsidR="001C64CB" w:rsidRPr="00AF4302" w:rsidRDefault="001C64CB" w:rsidP="001C64CB">
      <w:pPr>
        <w:pStyle w:val="ListParagraph"/>
        <w:numPr>
          <w:ilvl w:val="0"/>
          <w:numId w:val="6"/>
        </w:numPr>
        <w:spacing w:line="256" w:lineRule="auto"/>
      </w:pPr>
      <w:r w:rsidRPr="00AF4302">
        <w:t>Recorded in custody in NCCIS</w:t>
      </w:r>
    </w:p>
    <w:p w14:paraId="06BA676A" w14:textId="77777777" w:rsidR="001C64CB" w:rsidRPr="00AF4302" w:rsidRDefault="001C64CB" w:rsidP="001C64CB">
      <w:pPr>
        <w:pStyle w:val="ListParagraph"/>
        <w:numPr>
          <w:ilvl w:val="0"/>
          <w:numId w:val="6"/>
        </w:numPr>
        <w:spacing w:line="256" w:lineRule="auto"/>
      </w:pPr>
      <w:r w:rsidRPr="00AF4302">
        <w:t>Number of months recorded as not in employment, education and training (NEET) in NCCIS</w:t>
      </w:r>
    </w:p>
    <w:p w14:paraId="381E0960" w14:textId="77777777" w:rsidR="001C64CB" w:rsidRPr="00AF4302" w:rsidRDefault="001C64CB" w:rsidP="001C64CB">
      <w:pPr>
        <w:pStyle w:val="ListParagraph"/>
        <w:numPr>
          <w:ilvl w:val="0"/>
          <w:numId w:val="6"/>
        </w:numPr>
        <w:spacing w:line="256" w:lineRule="auto"/>
      </w:pPr>
      <w:r w:rsidRPr="00AF4302">
        <w:t>Enrolled on a qualification at NQF level 6 in a higher education institution</w:t>
      </w:r>
    </w:p>
    <w:p w14:paraId="735A86BB" w14:textId="77777777" w:rsidR="001C64CB" w:rsidRPr="00AF4302" w:rsidRDefault="001C64CB" w:rsidP="001C64CB">
      <w:pPr>
        <w:pStyle w:val="ListParagraph"/>
        <w:numPr>
          <w:ilvl w:val="0"/>
          <w:numId w:val="6"/>
        </w:numPr>
        <w:spacing w:line="256" w:lineRule="auto"/>
      </w:pPr>
      <w:r w:rsidRPr="00AF4302">
        <w:t>Enrolled on a qualification at NQF level 6 in a higher education institution belonging to the Russell Group</w:t>
      </w:r>
    </w:p>
    <w:p w14:paraId="72EFB27C" w14:textId="77777777" w:rsidR="001C64CB" w:rsidRPr="00AF4302" w:rsidRDefault="001C64CB" w:rsidP="001C64CB">
      <w:pPr>
        <w:pStyle w:val="ListParagraph"/>
        <w:numPr>
          <w:ilvl w:val="0"/>
          <w:numId w:val="6"/>
        </w:numPr>
        <w:spacing w:line="256" w:lineRule="auto"/>
      </w:pPr>
      <w:r w:rsidRPr="00AF4302">
        <w:t>Earnings from employment and self-employment</w:t>
      </w:r>
    </w:p>
    <w:p w14:paraId="709F374E" w14:textId="77777777" w:rsidR="001C64CB" w:rsidRPr="00AF4302" w:rsidRDefault="001C64CB" w:rsidP="001C64CB">
      <w:r w:rsidRPr="00AF4302">
        <w:lastRenderedPageBreak/>
        <w:t>We also calculate the number of days each year we observe individuals participating in various activities. These are</w:t>
      </w:r>
    </w:p>
    <w:p w14:paraId="271999B5" w14:textId="77777777" w:rsidR="001C64CB" w:rsidRPr="00AF4302" w:rsidRDefault="001C64CB" w:rsidP="001C64CB">
      <w:pPr>
        <w:pStyle w:val="ListParagraph"/>
        <w:numPr>
          <w:ilvl w:val="0"/>
          <w:numId w:val="6"/>
        </w:numPr>
        <w:spacing w:line="256" w:lineRule="auto"/>
      </w:pPr>
      <w:r w:rsidRPr="00AF4302">
        <w:t>Number of days employed</w:t>
      </w:r>
    </w:p>
    <w:p w14:paraId="1C2A7DA9" w14:textId="37884BBC" w:rsidR="001C64CB" w:rsidRPr="00AF4302" w:rsidRDefault="001C64CB" w:rsidP="001C64CB">
      <w:pPr>
        <w:pStyle w:val="ListParagraph"/>
        <w:numPr>
          <w:ilvl w:val="0"/>
          <w:numId w:val="6"/>
        </w:numPr>
        <w:spacing w:line="256" w:lineRule="auto"/>
      </w:pPr>
      <w:r w:rsidRPr="00AF4302">
        <w:t>Number of days in receipt of workless benefits</w:t>
      </w:r>
      <w:r w:rsidR="00231087">
        <w:rPr>
          <w:rStyle w:val="EndnoteReference"/>
        </w:rPr>
        <w:endnoteReference w:id="7"/>
      </w:r>
    </w:p>
    <w:p w14:paraId="25238C1F" w14:textId="77777777" w:rsidR="001C64CB" w:rsidRPr="00AF4302" w:rsidRDefault="001C64CB" w:rsidP="001C64CB">
      <w:pPr>
        <w:pStyle w:val="ListParagraph"/>
        <w:numPr>
          <w:ilvl w:val="0"/>
          <w:numId w:val="6"/>
        </w:numPr>
        <w:spacing w:line="256" w:lineRule="auto"/>
      </w:pPr>
      <w:r w:rsidRPr="00AF4302">
        <w:t>Number of days enrolled in schools</w:t>
      </w:r>
    </w:p>
    <w:p w14:paraId="5FC33EED" w14:textId="77777777" w:rsidR="001C64CB" w:rsidRPr="00AF4302" w:rsidRDefault="001C64CB" w:rsidP="001C64CB">
      <w:pPr>
        <w:pStyle w:val="ListParagraph"/>
        <w:numPr>
          <w:ilvl w:val="0"/>
          <w:numId w:val="6"/>
        </w:numPr>
        <w:spacing w:line="256" w:lineRule="auto"/>
      </w:pPr>
      <w:r w:rsidRPr="00AF4302">
        <w:t>Number of days enrolled in further education (colleges, work-based learning and other providers)</w:t>
      </w:r>
    </w:p>
    <w:p w14:paraId="6051F6BE" w14:textId="77777777" w:rsidR="001C64CB" w:rsidRPr="00AF4302" w:rsidRDefault="001C64CB" w:rsidP="001C64CB">
      <w:pPr>
        <w:pStyle w:val="ListParagraph"/>
        <w:numPr>
          <w:ilvl w:val="0"/>
          <w:numId w:val="6"/>
        </w:numPr>
        <w:spacing w:line="256" w:lineRule="auto"/>
      </w:pPr>
      <w:r w:rsidRPr="00AF4302">
        <w:t>Number of days enrolled in a higher education institution</w:t>
      </w:r>
    </w:p>
    <w:p w14:paraId="4373BF66" w14:textId="1843D1D5" w:rsidR="001C64CB" w:rsidRPr="00AF4302" w:rsidRDefault="001C64CB" w:rsidP="001C64CB">
      <w:r w:rsidRPr="00AF4302">
        <w:t>We use the measures based on number of days to create a measure of a sustained</w:t>
      </w:r>
      <w:r w:rsidR="00AA5D2C" w:rsidRPr="00AF4302">
        <w:t xml:space="preserve"> </w:t>
      </w:r>
      <w:r w:rsidRPr="00AF4302">
        <w:t xml:space="preserve">destination. </w:t>
      </w:r>
      <w:r w:rsidR="00974792" w:rsidRPr="00AF4302">
        <w:t>We define a sustained positive destination</w:t>
      </w:r>
      <w:r w:rsidRPr="00AF4302">
        <w:t xml:space="preserve"> as being continuously enrolled in education (school, further education or higher education) or in employment for 180 days or more.</w:t>
      </w:r>
    </w:p>
    <w:p w14:paraId="4A8286DE" w14:textId="106F2CAA" w:rsidR="001C64CB" w:rsidRDefault="001C64CB" w:rsidP="001C64CB">
      <w:r w:rsidRPr="00AF4302">
        <w:t>Daily earnings are calculated by dividing annual earnings by days employed (where days employed are observed). We ignore the top and bottom 0.5% of values as these seem implausible. Note that data on hours worked is not currently available.</w:t>
      </w:r>
    </w:p>
    <w:p w14:paraId="14113287" w14:textId="0B5ECB7E" w:rsidR="00E8772B" w:rsidRDefault="00E8772B" w:rsidP="001C64CB">
      <w:r>
        <w:t xml:space="preserve">The key outcomes we </w:t>
      </w:r>
      <w:r w:rsidR="007E2FCF">
        <w:t>summarise</w:t>
      </w:r>
      <w:r>
        <w:t xml:space="preserve"> in this </w:t>
      </w:r>
      <w:r w:rsidR="007E2FCF">
        <w:t>report are</w:t>
      </w:r>
    </w:p>
    <w:p w14:paraId="376A3DAC" w14:textId="05D5D1BD" w:rsidR="00E8772B" w:rsidRDefault="007E2FCF" w:rsidP="00E8772B">
      <w:pPr>
        <w:pStyle w:val="ListParagraph"/>
        <w:numPr>
          <w:ilvl w:val="0"/>
          <w:numId w:val="6"/>
        </w:numPr>
        <w:spacing w:line="256" w:lineRule="auto"/>
      </w:pPr>
      <w:r>
        <w:t>Proportion of individuals observed in a sustained positive destination at age 22, i.e. observed either in education (schools, further education or higher education institutions) or employment for at least 180 days</w:t>
      </w:r>
    </w:p>
    <w:p w14:paraId="239DC2B4" w14:textId="450B4AB5" w:rsidR="007E2FCF" w:rsidRDefault="007E2FCF" w:rsidP="00E8772B">
      <w:pPr>
        <w:pStyle w:val="ListParagraph"/>
        <w:numPr>
          <w:ilvl w:val="0"/>
          <w:numId w:val="6"/>
        </w:numPr>
        <w:spacing w:line="256" w:lineRule="auto"/>
      </w:pPr>
      <w:r>
        <w:t>Proportion of individuals in receipt of workless benefits for at least 180 days at age 22</w:t>
      </w:r>
    </w:p>
    <w:p w14:paraId="66F828FF" w14:textId="33F380F6" w:rsidR="007E2FCF" w:rsidRDefault="007E2FCF" w:rsidP="00E8772B">
      <w:pPr>
        <w:pStyle w:val="ListParagraph"/>
        <w:numPr>
          <w:ilvl w:val="0"/>
          <w:numId w:val="6"/>
        </w:numPr>
        <w:spacing w:line="256" w:lineRule="auto"/>
      </w:pPr>
      <w:r>
        <w:t>Average earnings from employment and self-employment at age 22</w:t>
      </w:r>
    </w:p>
    <w:p w14:paraId="1FA72992" w14:textId="732C2D1A" w:rsidR="007E2FCF" w:rsidRDefault="007E2FCF" w:rsidP="00E8772B">
      <w:pPr>
        <w:pStyle w:val="ListParagraph"/>
        <w:numPr>
          <w:ilvl w:val="0"/>
          <w:numId w:val="6"/>
        </w:numPr>
        <w:spacing w:line="256" w:lineRule="auto"/>
      </w:pPr>
      <w:r>
        <w:t>Proportion of individuals by highest qualification level achieved by ages 18, 19, 20, 21 and 22</w:t>
      </w:r>
    </w:p>
    <w:p w14:paraId="30CA3D19" w14:textId="7E8F0FCE" w:rsidR="007E2FCF" w:rsidRPr="00AF4302" w:rsidRDefault="007E2FCF" w:rsidP="00E8772B">
      <w:pPr>
        <w:pStyle w:val="ListParagraph"/>
        <w:numPr>
          <w:ilvl w:val="0"/>
          <w:numId w:val="6"/>
        </w:numPr>
        <w:spacing w:line="256" w:lineRule="auto"/>
      </w:pPr>
      <w:r>
        <w:t>Proportion of individuals enrolled in a higher education institution at age 21</w:t>
      </w:r>
    </w:p>
    <w:p w14:paraId="785A111F" w14:textId="779E7B37" w:rsidR="00E8772B" w:rsidRPr="00AF4302" w:rsidRDefault="00A57663" w:rsidP="001C64CB">
      <w:r>
        <w:t>Further outcomes are provided in the Appendix.</w:t>
      </w:r>
    </w:p>
    <w:p w14:paraId="2B981F41" w14:textId="4C40D0BA" w:rsidR="001C64CB" w:rsidRPr="00AF4302" w:rsidRDefault="00492796" w:rsidP="001C64CB">
      <w:pPr>
        <w:pStyle w:val="Heading3"/>
      </w:pPr>
      <w:r>
        <w:t xml:space="preserve">2.4. </w:t>
      </w:r>
      <w:r w:rsidR="001C64CB" w:rsidRPr="00AF4302">
        <w:t>Attrition</w:t>
      </w:r>
    </w:p>
    <w:p w14:paraId="065D7BCC" w14:textId="4470E2AB" w:rsidR="001C64CB" w:rsidRPr="00AF4302" w:rsidRDefault="001C64CB" w:rsidP="001C64CB">
      <w:r w:rsidRPr="00AF4302">
        <w:t>Although administrative data doesn’t suffer from sample attrition in the same way as survey data it nonetheless exists. Some individuals cease to be observed in any of the data sources. This may arise due to emigration, death or being economically inactive. However, these events are unobserved.</w:t>
      </w:r>
      <w:r w:rsidR="00CB05E1">
        <w:t xml:space="preserve"> </w:t>
      </w:r>
      <w:r w:rsidR="00454E0A">
        <w:fldChar w:fldCharType="begin"/>
      </w:r>
      <w:r w:rsidR="00454E0A">
        <w:instrText xml:space="preserve"> REF _Ref112344868 \h </w:instrText>
      </w:r>
      <w:r w:rsidR="00454E0A">
        <w:fldChar w:fldCharType="separate"/>
      </w:r>
      <w:r w:rsidR="00882925">
        <w:t xml:space="preserve">Table </w:t>
      </w:r>
      <w:r w:rsidR="00882925">
        <w:rPr>
          <w:noProof/>
        </w:rPr>
        <w:t>1</w:t>
      </w:r>
      <w:r w:rsidR="00454E0A">
        <w:fldChar w:fldCharType="end"/>
      </w:r>
      <w:r w:rsidR="00454E0A">
        <w:t xml:space="preserve"> </w:t>
      </w:r>
      <w:r w:rsidRPr="00AF4302">
        <w:t>shows the possible extent of attrition within the data used.</w:t>
      </w:r>
    </w:p>
    <w:p w14:paraId="620B7A15" w14:textId="2F0DCE9A" w:rsidR="00B65D6E" w:rsidRDefault="00B65D6E" w:rsidP="00B65D6E">
      <w:pPr>
        <w:pStyle w:val="Caption"/>
        <w:keepNext/>
      </w:pPr>
      <w:bookmarkStart w:id="2" w:name="_Ref112344868"/>
      <w:r>
        <w:t xml:space="preserve">Table </w:t>
      </w:r>
      <w:r w:rsidR="00E14893">
        <w:fldChar w:fldCharType="begin"/>
      </w:r>
      <w:r w:rsidR="00E14893">
        <w:instrText xml:space="preserve"> SEQ Table \* ARABIC </w:instrText>
      </w:r>
      <w:r w:rsidR="00E14893">
        <w:fldChar w:fldCharType="separate"/>
      </w:r>
      <w:r w:rsidR="0005315D">
        <w:rPr>
          <w:noProof/>
        </w:rPr>
        <w:t>1</w:t>
      </w:r>
      <w:r w:rsidR="00E14893">
        <w:rPr>
          <w:noProof/>
        </w:rPr>
        <w:fldChar w:fldCharType="end"/>
      </w:r>
      <w:bookmarkEnd w:id="2"/>
      <w:r>
        <w:t>: A summary of attrition by cohort</w:t>
      </w:r>
    </w:p>
    <w:tbl>
      <w:tblPr>
        <w:tblW w:w="6946" w:type="dxa"/>
        <w:jc w:val="center"/>
        <w:tblLook w:val="04A0" w:firstRow="1" w:lastRow="0" w:firstColumn="1" w:lastColumn="0" w:noHBand="0" w:noVBand="1"/>
      </w:tblPr>
      <w:tblGrid>
        <w:gridCol w:w="960"/>
        <w:gridCol w:w="1450"/>
        <w:gridCol w:w="1418"/>
        <w:gridCol w:w="1559"/>
        <w:gridCol w:w="1559"/>
      </w:tblGrid>
      <w:tr w:rsidR="001C64CB" w:rsidRPr="00AF4302" w14:paraId="22CA807B" w14:textId="77777777" w:rsidTr="00226090">
        <w:trPr>
          <w:trHeight w:val="300"/>
          <w:jc w:val="center"/>
        </w:trPr>
        <w:tc>
          <w:tcPr>
            <w:tcW w:w="960" w:type="dxa"/>
            <w:tcBorders>
              <w:top w:val="nil"/>
              <w:left w:val="nil"/>
              <w:bottom w:val="single" w:sz="4" w:space="0" w:color="auto"/>
              <w:right w:val="nil"/>
            </w:tcBorders>
            <w:noWrap/>
            <w:vAlign w:val="center"/>
            <w:hideMark/>
          </w:tcPr>
          <w:p w14:paraId="4B62EDB1"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KS4 Year</w:t>
            </w:r>
          </w:p>
        </w:tc>
        <w:tc>
          <w:tcPr>
            <w:tcW w:w="1450" w:type="dxa"/>
            <w:tcBorders>
              <w:top w:val="nil"/>
              <w:left w:val="nil"/>
              <w:bottom w:val="single" w:sz="4" w:space="0" w:color="auto"/>
              <w:right w:val="nil"/>
            </w:tcBorders>
            <w:noWrap/>
            <w:vAlign w:val="center"/>
            <w:hideMark/>
          </w:tcPr>
          <w:p w14:paraId="2D457C10"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 observed after KS4 year</w:t>
            </w:r>
          </w:p>
        </w:tc>
        <w:tc>
          <w:tcPr>
            <w:tcW w:w="1418" w:type="dxa"/>
            <w:tcBorders>
              <w:top w:val="nil"/>
              <w:left w:val="nil"/>
              <w:bottom w:val="single" w:sz="4" w:space="0" w:color="auto"/>
              <w:right w:val="nil"/>
            </w:tcBorders>
            <w:noWrap/>
            <w:vAlign w:val="center"/>
            <w:hideMark/>
          </w:tcPr>
          <w:p w14:paraId="5DB546B4"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 observed in 2019</w:t>
            </w:r>
          </w:p>
        </w:tc>
        <w:tc>
          <w:tcPr>
            <w:tcW w:w="1559" w:type="dxa"/>
            <w:tcBorders>
              <w:top w:val="nil"/>
              <w:left w:val="nil"/>
              <w:bottom w:val="single" w:sz="4" w:space="0" w:color="auto"/>
              <w:right w:val="nil"/>
            </w:tcBorders>
            <w:noWrap/>
            <w:vAlign w:val="center"/>
            <w:hideMark/>
          </w:tcPr>
          <w:p w14:paraId="0E665FE1"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 with 2019 earnings data</w:t>
            </w:r>
          </w:p>
        </w:tc>
        <w:tc>
          <w:tcPr>
            <w:tcW w:w="1559" w:type="dxa"/>
            <w:tcBorders>
              <w:top w:val="nil"/>
              <w:left w:val="nil"/>
              <w:bottom w:val="single" w:sz="4" w:space="0" w:color="auto"/>
              <w:right w:val="nil"/>
            </w:tcBorders>
            <w:noWrap/>
            <w:vAlign w:val="center"/>
            <w:hideMark/>
          </w:tcPr>
          <w:p w14:paraId="0878F137"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Total Cohort (000s)</w:t>
            </w:r>
          </w:p>
        </w:tc>
      </w:tr>
      <w:tr w:rsidR="001C64CB" w:rsidRPr="00AF4302" w14:paraId="0251B5D9" w14:textId="77777777" w:rsidTr="00226090">
        <w:trPr>
          <w:trHeight w:val="300"/>
          <w:jc w:val="center"/>
        </w:trPr>
        <w:tc>
          <w:tcPr>
            <w:tcW w:w="960" w:type="dxa"/>
            <w:tcBorders>
              <w:top w:val="single" w:sz="4" w:space="0" w:color="auto"/>
              <w:left w:val="nil"/>
              <w:bottom w:val="nil"/>
              <w:right w:val="nil"/>
            </w:tcBorders>
            <w:noWrap/>
            <w:vAlign w:val="center"/>
            <w:hideMark/>
          </w:tcPr>
          <w:p w14:paraId="4DAFBCAF"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2013</w:t>
            </w:r>
          </w:p>
        </w:tc>
        <w:tc>
          <w:tcPr>
            <w:tcW w:w="1450" w:type="dxa"/>
            <w:tcBorders>
              <w:top w:val="single" w:sz="4" w:space="0" w:color="auto"/>
              <w:left w:val="nil"/>
              <w:bottom w:val="nil"/>
              <w:right w:val="nil"/>
            </w:tcBorders>
            <w:noWrap/>
            <w:vAlign w:val="center"/>
            <w:hideMark/>
          </w:tcPr>
          <w:p w14:paraId="69E662C8"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99%</w:t>
            </w:r>
          </w:p>
        </w:tc>
        <w:tc>
          <w:tcPr>
            <w:tcW w:w="1418" w:type="dxa"/>
            <w:tcBorders>
              <w:top w:val="single" w:sz="4" w:space="0" w:color="auto"/>
              <w:left w:val="nil"/>
              <w:bottom w:val="nil"/>
              <w:right w:val="nil"/>
            </w:tcBorders>
            <w:noWrap/>
            <w:vAlign w:val="center"/>
            <w:hideMark/>
          </w:tcPr>
          <w:p w14:paraId="4668915C"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92%</w:t>
            </w:r>
          </w:p>
        </w:tc>
        <w:tc>
          <w:tcPr>
            <w:tcW w:w="1559" w:type="dxa"/>
            <w:tcBorders>
              <w:top w:val="single" w:sz="4" w:space="0" w:color="auto"/>
              <w:left w:val="nil"/>
              <w:bottom w:val="nil"/>
              <w:right w:val="nil"/>
            </w:tcBorders>
            <w:noWrap/>
            <w:vAlign w:val="center"/>
            <w:hideMark/>
          </w:tcPr>
          <w:p w14:paraId="349D562E"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74%</w:t>
            </w:r>
          </w:p>
        </w:tc>
        <w:tc>
          <w:tcPr>
            <w:tcW w:w="1559" w:type="dxa"/>
            <w:tcBorders>
              <w:top w:val="single" w:sz="4" w:space="0" w:color="auto"/>
              <w:left w:val="nil"/>
              <w:bottom w:val="nil"/>
              <w:right w:val="nil"/>
            </w:tcBorders>
            <w:noWrap/>
            <w:vAlign w:val="center"/>
            <w:hideMark/>
          </w:tcPr>
          <w:p w14:paraId="130001CC"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604.8</w:t>
            </w:r>
          </w:p>
        </w:tc>
      </w:tr>
      <w:tr w:rsidR="001C64CB" w:rsidRPr="00AF4302" w14:paraId="3E2CF5D8" w14:textId="77777777" w:rsidTr="00226090">
        <w:trPr>
          <w:trHeight w:val="300"/>
          <w:jc w:val="center"/>
        </w:trPr>
        <w:tc>
          <w:tcPr>
            <w:tcW w:w="960" w:type="dxa"/>
            <w:noWrap/>
            <w:vAlign w:val="center"/>
            <w:hideMark/>
          </w:tcPr>
          <w:p w14:paraId="13B9E4EE"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2014</w:t>
            </w:r>
          </w:p>
        </w:tc>
        <w:tc>
          <w:tcPr>
            <w:tcW w:w="1450" w:type="dxa"/>
            <w:noWrap/>
            <w:vAlign w:val="center"/>
            <w:hideMark/>
          </w:tcPr>
          <w:p w14:paraId="5D90408C"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99%</w:t>
            </w:r>
          </w:p>
        </w:tc>
        <w:tc>
          <w:tcPr>
            <w:tcW w:w="1418" w:type="dxa"/>
            <w:noWrap/>
            <w:vAlign w:val="center"/>
            <w:hideMark/>
          </w:tcPr>
          <w:p w14:paraId="020933A6"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93%</w:t>
            </w:r>
          </w:p>
        </w:tc>
        <w:tc>
          <w:tcPr>
            <w:tcW w:w="1559" w:type="dxa"/>
            <w:noWrap/>
            <w:vAlign w:val="center"/>
            <w:hideMark/>
          </w:tcPr>
          <w:p w14:paraId="360F134A"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72%</w:t>
            </w:r>
          </w:p>
        </w:tc>
        <w:tc>
          <w:tcPr>
            <w:tcW w:w="1559" w:type="dxa"/>
            <w:noWrap/>
            <w:vAlign w:val="center"/>
            <w:hideMark/>
          </w:tcPr>
          <w:p w14:paraId="7B63C942"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592.1</w:t>
            </w:r>
          </w:p>
        </w:tc>
      </w:tr>
      <w:tr w:rsidR="001C64CB" w:rsidRPr="00AF4302" w14:paraId="378A71BC" w14:textId="77777777" w:rsidTr="00226090">
        <w:trPr>
          <w:trHeight w:val="300"/>
          <w:jc w:val="center"/>
        </w:trPr>
        <w:tc>
          <w:tcPr>
            <w:tcW w:w="960" w:type="dxa"/>
            <w:tcBorders>
              <w:top w:val="nil"/>
              <w:left w:val="nil"/>
              <w:bottom w:val="single" w:sz="4" w:space="0" w:color="auto"/>
              <w:right w:val="nil"/>
            </w:tcBorders>
            <w:noWrap/>
            <w:vAlign w:val="center"/>
            <w:hideMark/>
          </w:tcPr>
          <w:p w14:paraId="5DE02586"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2015</w:t>
            </w:r>
          </w:p>
        </w:tc>
        <w:tc>
          <w:tcPr>
            <w:tcW w:w="1450" w:type="dxa"/>
            <w:tcBorders>
              <w:top w:val="nil"/>
              <w:left w:val="nil"/>
              <w:bottom w:val="single" w:sz="4" w:space="0" w:color="auto"/>
              <w:right w:val="nil"/>
            </w:tcBorders>
            <w:noWrap/>
            <w:vAlign w:val="center"/>
            <w:hideMark/>
          </w:tcPr>
          <w:p w14:paraId="7B0C7F83"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99%</w:t>
            </w:r>
          </w:p>
        </w:tc>
        <w:tc>
          <w:tcPr>
            <w:tcW w:w="1418" w:type="dxa"/>
            <w:tcBorders>
              <w:top w:val="nil"/>
              <w:left w:val="nil"/>
              <w:bottom w:val="single" w:sz="4" w:space="0" w:color="auto"/>
              <w:right w:val="nil"/>
            </w:tcBorders>
            <w:noWrap/>
            <w:vAlign w:val="center"/>
            <w:hideMark/>
          </w:tcPr>
          <w:p w14:paraId="2984ABC5"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94%</w:t>
            </w:r>
          </w:p>
        </w:tc>
        <w:tc>
          <w:tcPr>
            <w:tcW w:w="1559" w:type="dxa"/>
            <w:tcBorders>
              <w:top w:val="nil"/>
              <w:left w:val="nil"/>
              <w:bottom w:val="single" w:sz="4" w:space="0" w:color="auto"/>
              <w:right w:val="nil"/>
            </w:tcBorders>
            <w:noWrap/>
            <w:vAlign w:val="center"/>
            <w:hideMark/>
          </w:tcPr>
          <w:p w14:paraId="61BE5CB0"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71%</w:t>
            </w:r>
          </w:p>
        </w:tc>
        <w:tc>
          <w:tcPr>
            <w:tcW w:w="1559" w:type="dxa"/>
            <w:tcBorders>
              <w:top w:val="nil"/>
              <w:left w:val="nil"/>
              <w:bottom w:val="single" w:sz="4" w:space="0" w:color="auto"/>
              <w:right w:val="nil"/>
            </w:tcBorders>
            <w:noWrap/>
            <w:vAlign w:val="center"/>
            <w:hideMark/>
          </w:tcPr>
          <w:p w14:paraId="5EF6A7A6"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587.3</w:t>
            </w:r>
          </w:p>
        </w:tc>
      </w:tr>
    </w:tbl>
    <w:p w14:paraId="5539F863" w14:textId="77777777" w:rsidR="001C64CB" w:rsidRPr="00AF4302" w:rsidRDefault="001C64CB" w:rsidP="001C64CB"/>
    <w:p w14:paraId="2BFAC58F" w14:textId="77777777" w:rsidR="001C64CB" w:rsidRPr="00AF4302" w:rsidRDefault="001C64CB" w:rsidP="001C64CB">
      <w:r w:rsidRPr="00AF4302">
        <w:t>In each cohort, over 99% of individuals are observed in at least one year following Key Stage 4 in at least one data source. This is the group we include in our analysis.</w:t>
      </w:r>
    </w:p>
    <w:p w14:paraId="4E79BF63" w14:textId="77777777" w:rsidR="001C64CB" w:rsidRPr="00AF4302" w:rsidRDefault="001C64CB" w:rsidP="001C64CB">
      <w:r w:rsidRPr="00AF4302">
        <w:t>However, 8% of the 2013 cohort was not observed in 2019. 74% of the 2013 cohort were observed to have earnings data in 2019.</w:t>
      </w:r>
    </w:p>
    <w:p w14:paraId="433F66BB" w14:textId="2A6C4065" w:rsidR="001C64CB" w:rsidRPr="00AF4302" w:rsidRDefault="001C64CB" w:rsidP="001C64CB">
      <w:r w:rsidRPr="00AF4302">
        <w:lastRenderedPageBreak/>
        <w:t>Attrition is related to gender. 10% of boys from the 2013 cohort were not observed in 2019 compared to 5% of girls. Among the boys, the most disadvantaged were more likely (12%) than those never eligible for free school meals (9%) to not be observed in 2019.</w:t>
      </w:r>
      <w:r w:rsidR="00B65D6E">
        <w:t xml:space="preserve"> This is summarised in</w:t>
      </w:r>
      <w:r w:rsidR="00A3183D">
        <w:t xml:space="preserve"> </w:t>
      </w:r>
      <w:r w:rsidR="00A3183D">
        <w:fldChar w:fldCharType="begin"/>
      </w:r>
      <w:r w:rsidR="00A3183D">
        <w:instrText xml:space="preserve"> REF _Ref112344853 \h </w:instrText>
      </w:r>
      <w:r w:rsidR="00A3183D">
        <w:fldChar w:fldCharType="separate"/>
      </w:r>
      <w:r w:rsidR="00882925">
        <w:t xml:space="preserve">Table </w:t>
      </w:r>
      <w:r w:rsidR="00882925">
        <w:rPr>
          <w:noProof/>
        </w:rPr>
        <w:t>2</w:t>
      </w:r>
      <w:r w:rsidR="00A3183D">
        <w:fldChar w:fldCharType="end"/>
      </w:r>
      <w:r w:rsidR="00B65D6E">
        <w:t>.</w:t>
      </w:r>
    </w:p>
    <w:p w14:paraId="7DE14970" w14:textId="7394B545" w:rsidR="00B65D6E" w:rsidRDefault="00B65D6E" w:rsidP="00B65D6E">
      <w:pPr>
        <w:pStyle w:val="Caption"/>
        <w:keepNext/>
      </w:pPr>
      <w:bookmarkStart w:id="3" w:name="_Ref112344853"/>
      <w:r>
        <w:t xml:space="preserve">Table </w:t>
      </w:r>
      <w:r w:rsidR="00E14893">
        <w:fldChar w:fldCharType="begin"/>
      </w:r>
      <w:r w:rsidR="00E14893">
        <w:instrText xml:space="preserve"> SEQ Table \* ARABIC </w:instrText>
      </w:r>
      <w:r w:rsidR="00E14893">
        <w:fldChar w:fldCharType="separate"/>
      </w:r>
      <w:r w:rsidR="0005315D">
        <w:rPr>
          <w:noProof/>
        </w:rPr>
        <w:t>2</w:t>
      </w:r>
      <w:r w:rsidR="00E14893">
        <w:rPr>
          <w:noProof/>
        </w:rPr>
        <w:fldChar w:fldCharType="end"/>
      </w:r>
      <w:bookmarkEnd w:id="3"/>
      <w:r>
        <w:t>: A summary of attrition from the 2013 Key Stage 4 cohort by gender</w:t>
      </w:r>
    </w:p>
    <w:tbl>
      <w:tblPr>
        <w:tblW w:w="5860" w:type="dxa"/>
        <w:jc w:val="center"/>
        <w:tblLook w:val="04A0" w:firstRow="1" w:lastRow="0" w:firstColumn="1" w:lastColumn="0" w:noHBand="0" w:noVBand="1"/>
      </w:tblPr>
      <w:tblGrid>
        <w:gridCol w:w="2020"/>
        <w:gridCol w:w="960"/>
        <w:gridCol w:w="960"/>
        <w:gridCol w:w="960"/>
        <w:gridCol w:w="960"/>
      </w:tblGrid>
      <w:tr w:rsidR="001C64CB" w:rsidRPr="00AF4302" w14:paraId="3E763A04" w14:textId="77777777" w:rsidTr="00A136A6">
        <w:trPr>
          <w:trHeight w:val="300"/>
          <w:jc w:val="center"/>
        </w:trPr>
        <w:tc>
          <w:tcPr>
            <w:tcW w:w="2020" w:type="dxa"/>
            <w:noWrap/>
            <w:vAlign w:val="bottom"/>
            <w:hideMark/>
          </w:tcPr>
          <w:p w14:paraId="7254DF9C" w14:textId="77777777" w:rsidR="001C64CB" w:rsidRPr="00AF4302" w:rsidRDefault="001C64CB"/>
        </w:tc>
        <w:tc>
          <w:tcPr>
            <w:tcW w:w="1920" w:type="dxa"/>
            <w:gridSpan w:val="2"/>
            <w:tcBorders>
              <w:top w:val="nil"/>
              <w:left w:val="nil"/>
              <w:bottom w:val="single" w:sz="4" w:space="0" w:color="auto"/>
              <w:right w:val="nil"/>
            </w:tcBorders>
            <w:noWrap/>
            <w:vAlign w:val="bottom"/>
            <w:hideMark/>
          </w:tcPr>
          <w:p w14:paraId="3D134F0B" w14:textId="77777777" w:rsidR="001C64CB" w:rsidRPr="00AF4302" w:rsidRDefault="001C64CB">
            <w:pPr>
              <w:spacing w:after="0" w:line="240" w:lineRule="auto"/>
              <w:jc w:val="center"/>
              <w:rPr>
                <w:rFonts w:eastAsia="Times New Roman" w:cs="Times New Roman"/>
                <w:color w:val="000000"/>
                <w:lang w:eastAsia="en-GB"/>
              </w:rPr>
            </w:pPr>
            <w:r w:rsidRPr="00AF4302">
              <w:rPr>
                <w:rFonts w:eastAsia="Times New Roman" w:cs="Times New Roman"/>
                <w:color w:val="000000"/>
                <w:lang w:eastAsia="en-GB"/>
              </w:rPr>
              <w:t>% observed in 2019</w:t>
            </w:r>
          </w:p>
        </w:tc>
        <w:tc>
          <w:tcPr>
            <w:tcW w:w="1920" w:type="dxa"/>
            <w:gridSpan w:val="2"/>
            <w:tcBorders>
              <w:top w:val="nil"/>
              <w:left w:val="nil"/>
              <w:bottom w:val="single" w:sz="4" w:space="0" w:color="auto"/>
              <w:right w:val="nil"/>
            </w:tcBorders>
            <w:noWrap/>
            <w:vAlign w:val="bottom"/>
            <w:hideMark/>
          </w:tcPr>
          <w:p w14:paraId="28CC3E13" w14:textId="77777777" w:rsidR="001C64CB" w:rsidRPr="00AF4302" w:rsidRDefault="001C64CB">
            <w:pPr>
              <w:spacing w:after="0" w:line="240" w:lineRule="auto"/>
              <w:jc w:val="center"/>
              <w:rPr>
                <w:rFonts w:eastAsia="Times New Roman" w:cs="Times New Roman"/>
                <w:color w:val="000000"/>
                <w:lang w:eastAsia="en-GB"/>
              </w:rPr>
            </w:pPr>
            <w:r w:rsidRPr="00AF4302">
              <w:rPr>
                <w:rFonts w:eastAsia="Times New Roman" w:cs="Times New Roman"/>
                <w:color w:val="000000"/>
                <w:lang w:eastAsia="en-GB"/>
              </w:rPr>
              <w:t>Total Cohort (000s)</w:t>
            </w:r>
          </w:p>
        </w:tc>
      </w:tr>
      <w:tr w:rsidR="001C64CB" w:rsidRPr="00AF4302" w14:paraId="628FB56D" w14:textId="77777777" w:rsidTr="00226090">
        <w:trPr>
          <w:trHeight w:val="300"/>
          <w:jc w:val="center"/>
        </w:trPr>
        <w:tc>
          <w:tcPr>
            <w:tcW w:w="2020" w:type="dxa"/>
            <w:tcBorders>
              <w:top w:val="nil"/>
              <w:left w:val="nil"/>
              <w:bottom w:val="single" w:sz="4" w:space="0" w:color="auto"/>
              <w:right w:val="nil"/>
            </w:tcBorders>
            <w:noWrap/>
            <w:vAlign w:val="bottom"/>
            <w:hideMark/>
          </w:tcPr>
          <w:p w14:paraId="589C807F" w14:textId="77777777" w:rsidR="001C64CB" w:rsidRPr="00AF4302" w:rsidRDefault="001C64CB">
            <w:pPr>
              <w:spacing w:after="0" w:line="240" w:lineRule="auto"/>
              <w:rPr>
                <w:rFonts w:eastAsia="Times New Roman" w:cs="Times New Roman"/>
                <w:color w:val="000000"/>
                <w:lang w:eastAsia="en-GB"/>
              </w:rPr>
            </w:pPr>
            <w:r w:rsidRPr="00AF4302">
              <w:rPr>
                <w:rFonts w:eastAsia="Times New Roman" w:cs="Times New Roman"/>
                <w:color w:val="000000"/>
                <w:lang w:eastAsia="en-GB"/>
              </w:rPr>
              <w:t>% terms FSM</w:t>
            </w:r>
          </w:p>
        </w:tc>
        <w:tc>
          <w:tcPr>
            <w:tcW w:w="960" w:type="dxa"/>
            <w:tcBorders>
              <w:top w:val="single" w:sz="4" w:space="0" w:color="auto"/>
              <w:left w:val="nil"/>
              <w:bottom w:val="single" w:sz="4" w:space="0" w:color="auto"/>
              <w:right w:val="nil"/>
            </w:tcBorders>
            <w:noWrap/>
            <w:vAlign w:val="center"/>
            <w:hideMark/>
          </w:tcPr>
          <w:p w14:paraId="06FA6833"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Boys</w:t>
            </w:r>
          </w:p>
        </w:tc>
        <w:tc>
          <w:tcPr>
            <w:tcW w:w="960" w:type="dxa"/>
            <w:tcBorders>
              <w:top w:val="single" w:sz="4" w:space="0" w:color="auto"/>
              <w:left w:val="nil"/>
              <w:bottom w:val="single" w:sz="4" w:space="0" w:color="auto"/>
              <w:right w:val="nil"/>
            </w:tcBorders>
            <w:noWrap/>
            <w:vAlign w:val="center"/>
            <w:hideMark/>
          </w:tcPr>
          <w:p w14:paraId="4F7C1AC2"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Girls</w:t>
            </w:r>
          </w:p>
        </w:tc>
        <w:tc>
          <w:tcPr>
            <w:tcW w:w="960" w:type="dxa"/>
            <w:tcBorders>
              <w:top w:val="single" w:sz="4" w:space="0" w:color="auto"/>
              <w:left w:val="nil"/>
              <w:bottom w:val="single" w:sz="4" w:space="0" w:color="auto"/>
              <w:right w:val="nil"/>
            </w:tcBorders>
            <w:noWrap/>
            <w:vAlign w:val="center"/>
            <w:hideMark/>
          </w:tcPr>
          <w:p w14:paraId="671B6116"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Boys</w:t>
            </w:r>
          </w:p>
        </w:tc>
        <w:tc>
          <w:tcPr>
            <w:tcW w:w="960" w:type="dxa"/>
            <w:tcBorders>
              <w:top w:val="single" w:sz="4" w:space="0" w:color="auto"/>
              <w:left w:val="nil"/>
              <w:bottom w:val="single" w:sz="4" w:space="0" w:color="auto"/>
              <w:right w:val="nil"/>
            </w:tcBorders>
            <w:noWrap/>
            <w:vAlign w:val="center"/>
            <w:hideMark/>
          </w:tcPr>
          <w:p w14:paraId="20687651"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Girls</w:t>
            </w:r>
          </w:p>
        </w:tc>
      </w:tr>
      <w:tr w:rsidR="001C64CB" w:rsidRPr="00AF4302" w14:paraId="7C6BA3E2" w14:textId="77777777" w:rsidTr="00226090">
        <w:trPr>
          <w:trHeight w:val="300"/>
          <w:jc w:val="center"/>
        </w:trPr>
        <w:tc>
          <w:tcPr>
            <w:tcW w:w="2020" w:type="dxa"/>
            <w:tcBorders>
              <w:top w:val="single" w:sz="4" w:space="0" w:color="auto"/>
              <w:left w:val="nil"/>
              <w:bottom w:val="nil"/>
              <w:right w:val="nil"/>
            </w:tcBorders>
            <w:noWrap/>
            <w:vAlign w:val="bottom"/>
            <w:hideMark/>
          </w:tcPr>
          <w:p w14:paraId="3E2FF2AF" w14:textId="77777777" w:rsidR="001C64CB" w:rsidRPr="00AF4302" w:rsidRDefault="001C64CB">
            <w:pPr>
              <w:spacing w:after="0" w:line="240" w:lineRule="auto"/>
              <w:rPr>
                <w:rFonts w:eastAsia="Times New Roman" w:cs="Times New Roman"/>
                <w:color w:val="000000"/>
                <w:lang w:eastAsia="en-GB"/>
              </w:rPr>
            </w:pPr>
            <w:r w:rsidRPr="00AF4302">
              <w:rPr>
                <w:rFonts w:eastAsia="Times New Roman" w:cs="Times New Roman"/>
                <w:color w:val="000000"/>
                <w:lang w:eastAsia="en-GB"/>
              </w:rPr>
              <w:t>Never FSM</w:t>
            </w:r>
          </w:p>
        </w:tc>
        <w:tc>
          <w:tcPr>
            <w:tcW w:w="960" w:type="dxa"/>
            <w:tcBorders>
              <w:top w:val="single" w:sz="4" w:space="0" w:color="auto"/>
              <w:left w:val="nil"/>
              <w:bottom w:val="nil"/>
              <w:right w:val="nil"/>
            </w:tcBorders>
            <w:noWrap/>
            <w:vAlign w:val="center"/>
            <w:hideMark/>
          </w:tcPr>
          <w:p w14:paraId="507E067B" w14:textId="6D03A90A" w:rsidR="001C64CB" w:rsidRPr="00AF4302" w:rsidRDefault="003C66CB" w:rsidP="00226090">
            <w:pPr>
              <w:spacing w:after="0" w:line="240" w:lineRule="auto"/>
              <w:jc w:val="right"/>
              <w:rPr>
                <w:rFonts w:eastAsia="Times New Roman" w:cs="Times New Roman"/>
                <w:color w:val="000000"/>
                <w:lang w:eastAsia="en-GB"/>
              </w:rPr>
            </w:pPr>
            <w:r>
              <w:rPr>
                <w:rFonts w:eastAsia="Times New Roman" w:cs="Times New Roman"/>
                <w:color w:val="000000"/>
                <w:lang w:eastAsia="en-GB"/>
              </w:rPr>
              <w:t>91</w:t>
            </w:r>
            <w:r w:rsidR="001C64CB" w:rsidRPr="00AF4302">
              <w:rPr>
                <w:rFonts w:eastAsia="Times New Roman" w:cs="Times New Roman"/>
                <w:color w:val="000000"/>
                <w:lang w:eastAsia="en-GB"/>
              </w:rPr>
              <w:t>%</w:t>
            </w:r>
          </w:p>
        </w:tc>
        <w:tc>
          <w:tcPr>
            <w:tcW w:w="960" w:type="dxa"/>
            <w:tcBorders>
              <w:top w:val="single" w:sz="4" w:space="0" w:color="auto"/>
              <w:left w:val="nil"/>
              <w:bottom w:val="nil"/>
              <w:right w:val="nil"/>
            </w:tcBorders>
            <w:noWrap/>
            <w:vAlign w:val="center"/>
            <w:hideMark/>
          </w:tcPr>
          <w:p w14:paraId="0DCB6D89" w14:textId="7D6A2DDA" w:rsidR="001C64CB" w:rsidRPr="00AF4302" w:rsidRDefault="003C66CB" w:rsidP="00226090">
            <w:pPr>
              <w:spacing w:after="0" w:line="240" w:lineRule="auto"/>
              <w:jc w:val="right"/>
              <w:rPr>
                <w:rFonts w:eastAsia="Times New Roman" w:cs="Times New Roman"/>
                <w:color w:val="000000"/>
                <w:lang w:eastAsia="en-GB"/>
              </w:rPr>
            </w:pPr>
            <w:r>
              <w:rPr>
                <w:rFonts w:eastAsia="Times New Roman" w:cs="Times New Roman"/>
                <w:color w:val="000000"/>
                <w:lang w:eastAsia="en-GB"/>
              </w:rPr>
              <w:t>95</w:t>
            </w:r>
            <w:r w:rsidR="001C64CB" w:rsidRPr="00AF4302">
              <w:rPr>
                <w:rFonts w:eastAsia="Times New Roman" w:cs="Times New Roman"/>
                <w:color w:val="000000"/>
                <w:lang w:eastAsia="en-GB"/>
              </w:rPr>
              <w:t>%</w:t>
            </w:r>
          </w:p>
        </w:tc>
        <w:tc>
          <w:tcPr>
            <w:tcW w:w="960" w:type="dxa"/>
            <w:tcBorders>
              <w:top w:val="single" w:sz="4" w:space="0" w:color="auto"/>
              <w:left w:val="nil"/>
              <w:bottom w:val="nil"/>
              <w:right w:val="nil"/>
            </w:tcBorders>
            <w:noWrap/>
            <w:vAlign w:val="center"/>
            <w:hideMark/>
          </w:tcPr>
          <w:p w14:paraId="5035D3DF"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207.2</w:t>
            </w:r>
          </w:p>
        </w:tc>
        <w:tc>
          <w:tcPr>
            <w:tcW w:w="960" w:type="dxa"/>
            <w:tcBorders>
              <w:top w:val="single" w:sz="4" w:space="0" w:color="auto"/>
              <w:left w:val="nil"/>
              <w:bottom w:val="nil"/>
              <w:right w:val="nil"/>
            </w:tcBorders>
            <w:noWrap/>
            <w:vAlign w:val="center"/>
            <w:hideMark/>
          </w:tcPr>
          <w:p w14:paraId="3C0DE735"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197.4</w:t>
            </w:r>
          </w:p>
        </w:tc>
      </w:tr>
      <w:tr w:rsidR="001C64CB" w:rsidRPr="00AF4302" w14:paraId="42B4A24C" w14:textId="77777777" w:rsidTr="00226090">
        <w:trPr>
          <w:trHeight w:val="300"/>
          <w:jc w:val="center"/>
        </w:trPr>
        <w:tc>
          <w:tcPr>
            <w:tcW w:w="2020" w:type="dxa"/>
            <w:noWrap/>
            <w:vAlign w:val="bottom"/>
            <w:hideMark/>
          </w:tcPr>
          <w:p w14:paraId="487B07D1" w14:textId="77777777" w:rsidR="001C64CB" w:rsidRPr="00AF4302" w:rsidRDefault="001C64CB">
            <w:pPr>
              <w:spacing w:after="0" w:line="240" w:lineRule="auto"/>
              <w:rPr>
                <w:rFonts w:eastAsia="Times New Roman" w:cs="Times New Roman"/>
                <w:color w:val="000000"/>
                <w:lang w:eastAsia="en-GB"/>
              </w:rPr>
            </w:pPr>
            <w:r w:rsidRPr="00AF4302">
              <w:rPr>
                <w:rFonts w:eastAsia="Times New Roman" w:cs="Times New Roman"/>
                <w:color w:val="000000"/>
                <w:lang w:eastAsia="en-GB"/>
              </w:rPr>
              <w:t>&lt;=25%</w:t>
            </w:r>
          </w:p>
        </w:tc>
        <w:tc>
          <w:tcPr>
            <w:tcW w:w="960" w:type="dxa"/>
            <w:noWrap/>
            <w:vAlign w:val="center"/>
            <w:hideMark/>
          </w:tcPr>
          <w:p w14:paraId="32E7BA5D" w14:textId="7477AAF5" w:rsidR="001C64CB" w:rsidRPr="00AF4302" w:rsidRDefault="001C64CB" w:rsidP="003C66CB">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90%</w:t>
            </w:r>
          </w:p>
        </w:tc>
        <w:tc>
          <w:tcPr>
            <w:tcW w:w="960" w:type="dxa"/>
            <w:noWrap/>
            <w:vAlign w:val="center"/>
            <w:hideMark/>
          </w:tcPr>
          <w:p w14:paraId="7EE548AA" w14:textId="331FF57B" w:rsidR="001C64CB" w:rsidRPr="00AF4302" w:rsidRDefault="003C66CB" w:rsidP="003C66CB">
            <w:pPr>
              <w:spacing w:after="0" w:line="240" w:lineRule="auto"/>
              <w:jc w:val="right"/>
              <w:rPr>
                <w:rFonts w:eastAsia="Times New Roman" w:cs="Times New Roman"/>
                <w:color w:val="000000"/>
                <w:lang w:eastAsia="en-GB"/>
              </w:rPr>
            </w:pPr>
            <w:r>
              <w:rPr>
                <w:rFonts w:eastAsia="Times New Roman" w:cs="Times New Roman"/>
                <w:color w:val="000000"/>
                <w:lang w:eastAsia="en-GB"/>
              </w:rPr>
              <w:t>95</w:t>
            </w:r>
            <w:r w:rsidR="001C64CB" w:rsidRPr="00AF4302">
              <w:rPr>
                <w:rFonts w:eastAsia="Times New Roman" w:cs="Times New Roman"/>
                <w:color w:val="000000"/>
                <w:lang w:eastAsia="en-GB"/>
              </w:rPr>
              <w:t>%</w:t>
            </w:r>
          </w:p>
        </w:tc>
        <w:tc>
          <w:tcPr>
            <w:tcW w:w="960" w:type="dxa"/>
            <w:noWrap/>
            <w:vAlign w:val="center"/>
            <w:hideMark/>
          </w:tcPr>
          <w:p w14:paraId="3D219B84"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27.2</w:t>
            </w:r>
          </w:p>
        </w:tc>
        <w:tc>
          <w:tcPr>
            <w:tcW w:w="960" w:type="dxa"/>
            <w:noWrap/>
            <w:vAlign w:val="center"/>
            <w:hideMark/>
          </w:tcPr>
          <w:p w14:paraId="4D57F73C"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25.9</w:t>
            </w:r>
          </w:p>
        </w:tc>
      </w:tr>
      <w:tr w:rsidR="001C64CB" w:rsidRPr="00AF4302" w14:paraId="7539AA71" w14:textId="77777777" w:rsidTr="00226090">
        <w:trPr>
          <w:trHeight w:val="300"/>
          <w:jc w:val="center"/>
        </w:trPr>
        <w:tc>
          <w:tcPr>
            <w:tcW w:w="2020" w:type="dxa"/>
            <w:noWrap/>
            <w:vAlign w:val="bottom"/>
            <w:hideMark/>
          </w:tcPr>
          <w:p w14:paraId="26C30DDC" w14:textId="77777777" w:rsidR="001C64CB" w:rsidRPr="00AF4302" w:rsidRDefault="001C64CB">
            <w:pPr>
              <w:spacing w:after="0" w:line="240" w:lineRule="auto"/>
              <w:rPr>
                <w:rFonts w:eastAsia="Times New Roman" w:cs="Times New Roman"/>
                <w:color w:val="000000"/>
                <w:lang w:eastAsia="en-GB"/>
              </w:rPr>
            </w:pPr>
            <w:r w:rsidRPr="00AF4302">
              <w:rPr>
                <w:rFonts w:eastAsia="Times New Roman" w:cs="Times New Roman"/>
                <w:color w:val="000000"/>
                <w:lang w:eastAsia="en-GB"/>
              </w:rPr>
              <w:t xml:space="preserve">25% to 50% </w:t>
            </w:r>
          </w:p>
        </w:tc>
        <w:tc>
          <w:tcPr>
            <w:tcW w:w="960" w:type="dxa"/>
            <w:noWrap/>
            <w:vAlign w:val="center"/>
            <w:hideMark/>
          </w:tcPr>
          <w:p w14:paraId="23F77901" w14:textId="7D549CF7" w:rsidR="001C64CB" w:rsidRPr="00AF4302" w:rsidRDefault="001C64CB" w:rsidP="003C66CB">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89%</w:t>
            </w:r>
          </w:p>
        </w:tc>
        <w:tc>
          <w:tcPr>
            <w:tcW w:w="960" w:type="dxa"/>
            <w:noWrap/>
            <w:vAlign w:val="center"/>
            <w:hideMark/>
          </w:tcPr>
          <w:p w14:paraId="67E9EB29" w14:textId="217407DD" w:rsidR="001C64CB" w:rsidRPr="00AF4302" w:rsidRDefault="001C64CB" w:rsidP="003C66CB">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95%</w:t>
            </w:r>
          </w:p>
        </w:tc>
        <w:tc>
          <w:tcPr>
            <w:tcW w:w="960" w:type="dxa"/>
            <w:noWrap/>
            <w:vAlign w:val="center"/>
            <w:hideMark/>
          </w:tcPr>
          <w:p w14:paraId="13EF6EE5"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24.6</w:t>
            </w:r>
          </w:p>
        </w:tc>
        <w:tc>
          <w:tcPr>
            <w:tcW w:w="960" w:type="dxa"/>
            <w:noWrap/>
            <w:vAlign w:val="center"/>
            <w:hideMark/>
          </w:tcPr>
          <w:p w14:paraId="637E095A"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23.0</w:t>
            </w:r>
          </w:p>
        </w:tc>
      </w:tr>
      <w:tr w:rsidR="001C64CB" w:rsidRPr="00AF4302" w14:paraId="1AC1BEBC" w14:textId="77777777" w:rsidTr="00226090">
        <w:trPr>
          <w:trHeight w:val="300"/>
          <w:jc w:val="center"/>
        </w:trPr>
        <w:tc>
          <w:tcPr>
            <w:tcW w:w="2020" w:type="dxa"/>
            <w:noWrap/>
            <w:vAlign w:val="bottom"/>
            <w:hideMark/>
          </w:tcPr>
          <w:p w14:paraId="404CAEB5" w14:textId="77777777" w:rsidR="001C64CB" w:rsidRPr="00AF4302" w:rsidRDefault="001C64CB">
            <w:pPr>
              <w:spacing w:after="0" w:line="240" w:lineRule="auto"/>
              <w:rPr>
                <w:rFonts w:eastAsia="Times New Roman" w:cs="Times New Roman"/>
                <w:color w:val="000000"/>
                <w:lang w:eastAsia="en-GB"/>
              </w:rPr>
            </w:pPr>
            <w:r w:rsidRPr="00AF4302">
              <w:rPr>
                <w:rFonts w:eastAsia="Times New Roman" w:cs="Times New Roman"/>
                <w:color w:val="000000"/>
                <w:lang w:eastAsia="en-GB"/>
              </w:rPr>
              <w:t>50% to 80%</w:t>
            </w:r>
          </w:p>
        </w:tc>
        <w:tc>
          <w:tcPr>
            <w:tcW w:w="960" w:type="dxa"/>
            <w:noWrap/>
            <w:vAlign w:val="center"/>
            <w:hideMark/>
          </w:tcPr>
          <w:p w14:paraId="58D720C2" w14:textId="2C6DC9E1" w:rsidR="001C64CB" w:rsidRPr="00AF4302" w:rsidRDefault="001C64CB" w:rsidP="003C66CB">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88%</w:t>
            </w:r>
          </w:p>
        </w:tc>
        <w:tc>
          <w:tcPr>
            <w:tcW w:w="960" w:type="dxa"/>
            <w:noWrap/>
            <w:vAlign w:val="center"/>
            <w:hideMark/>
          </w:tcPr>
          <w:p w14:paraId="5010857F" w14:textId="328B5FF3" w:rsidR="001C64CB" w:rsidRPr="00AF4302" w:rsidRDefault="003C66CB" w:rsidP="00226090">
            <w:pPr>
              <w:spacing w:after="0" w:line="240" w:lineRule="auto"/>
              <w:jc w:val="right"/>
              <w:rPr>
                <w:rFonts w:eastAsia="Times New Roman" w:cs="Times New Roman"/>
                <w:color w:val="000000"/>
                <w:lang w:eastAsia="en-GB"/>
              </w:rPr>
            </w:pPr>
            <w:r>
              <w:rPr>
                <w:rFonts w:eastAsia="Times New Roman" w:cs="Times New Roman"/>
                <w:color w:val="000000"/>
                <w:lang w:eastAsia="en-GB"/>
              </w:rPr>
              <w:t>95</w:t>
            </w:r>
            <w:r w:rsidR="001C64CB" w:rsidRPr="00AF4302">
              <w:rPr>
                <w:rFonts w:eastAsia="Times New Roman" w:cs="Times New Roman"/>
                <w:color w:val="000000"/>
                <w:lang w:eastAsia="en-GB"/>
              </w:rPr>
              <w:t>%</w:t>
            </w:r>
          </w:p>
        </w:tc>
        <w:tc>
          <w:tcPr>
            <w:tcW w:w="960" w:type="dxa"/>
            <w:noWrap/>
            <w:vAlign w:val="center"/>
            <w:hideMark/>
          </w:tcPr>
          <w:p w14:paraId="24DE3CDE"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25.6</w:t>
            </w:r>
          </w:p>
        </w:tc>
        <w:tc>
          <w:tcPr>
            <w:tcW w:w="960" w:type="dxa"/>
            <w:noWrap/>
            <w:vAlign w:val="center"/>
            <w:hideMark/>
          </w:tcPr>
          <w:p w14:paraId="7CD1E16B"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24.4</w:t>
            </w:r>
          </w:p>
        </w:tc>
      </w:tr>
      <w:tr w:rsidR="001C64CB" w:rsidRPr="00AF4302" w14:paraId="700283F1" w14:textId="77777777" w:rsidTr="00226090">
        <w:trPr>
          <w:trHeight w:val="300"/>
          <w:jc w:val="center"/>
        </w:trPr>
        <w:tc>
          <w:tcPr>
            <w:tcW w:w="2020" w:type="dxa"/>
            <w:noWrap/>
            <w:vAlign w:val="bottom"/>
            <w:hideMark/>
          </w:tcPr>
          <w:p w14:paraId="15BEE553" w14:textId="77777777" w:rsidR="001C64CB" w:rsidRPr="00AF4302" w:rsidRDefault="001C64CB">
            <w:pPr>
              <w:spacing w:after="0" w:line="240" w:lineRule="auto"/>
              <w:rPr>
                <w:rFonts w:eastAsia="Times New Roman" w:cs="Times New Roman"/>
                <w:color w:val="000000"/>
                <w:lang w:eastAsia="en-GB"/>
              </w:rPr>
            </w:pPr>
            <w:r w:rsidRPr="00AF4302">
              <w:rPr>
                <w:rFonts w:eastAsia="Times New Roman" w:cs="Times New Roman"/>
                <w:color w:val="000000"/>
                <w:lang w:eastAsia="en-GB"/>
              </w:rPr>
              <w:t>80% or more</w:t>
            </w:r>
          </w:p>
        </w:tc>
        <w:tc>
          <w:tcPr>
            <w:tcW w:w="960" w:type="dxa"/>
            <w:noWrap/>
            <w:vAlign w:val="center"/>
            <w:hideMark/>
          </w:tcPr>
          <w:p w14:paraId="57706F60" w14:textId="64C848CD" w:rsidR="001C64CB" w:rsidRPr="00AF4302" w:rsidRDefault="003C66CB" w:rsidP="00226090">
            <w:pPr>
              <w:spacing w:after="0" w:line="240" w:lineRule="auto"/>
              <w:jc w:val="right"/>
              <w:rPr>
                <w:rFonts w:eastAsia="Times New Roman" w:cs="Times New Roman"/>
                <w:color w:val="000000"/>
                <w:lang w:eastAsia="en-GB"/>
              </w:rPr>
            </w:pPr>
            <w:r>
              <w:rPr>
                <w:rFonts w:eastAsia="Times New Roman" w:cs="Times New Roman"/>
                <w:color w:val="000000"/>
                <w:lang w:eastAsia="en-GB"/>
              </w:rPr>
              <w:t>88</w:t>
            </w:r>
            <w:r w:rsidR="001C64CB" w:rsidRPr="00AF4302">
              <w:rPr>
                <w:rFonts w:eastAsia="Times New Roman" w:cs="Times New Roman"/>
                <w:color w:val="000000"/>
                <w:lang w:eastAsia="en-GB"/>
              </w:rPr>
              <w:t>%</w:t>
            </w:r>
          </w:p>
        </w:tc>
        <w:tc>
          <w:tcPr>
            <w:tcW w:w="960" w:type="dxa"/>
            <w:noWrap/>
            <w:vAlign w:val="center"/>
            <w:hideMark/>
          </w:tcPr>
          <w:p w14:paraId="0F6DA7FE" w14:textId="6007791E" w:rsidR="001C64CB" w:rsidRPr="00AF4302" w:rsidRDefault="003C66CB" w:rsidP="00226090">
            <w:pPr>
              <w:spacing w:after="0" w:line="240" w:lineRule="auto"/>
              <w:jc w:val="right"/>
              <w:rPr>
                <w:rFonts w:eastAsia="Times New Roman" w:cs="Times New Roman"/>
                <w:color w:val="000000"/>
                <w:lang w:eastAsia="en-GB"/>
              </w:rPr>
            </w:pPr>
            <w:r>
              <w:rPr>
                <w:rFonts w:eastAsia="Times New Roman" w:cs="Times New Roman"/>
                <w:color w:val="000000"/>
                <w:lang w:eastAsia="en-GB"/>
              </w:rPr>
              <w:t>94</w:t>
            </w:r>
            <w:r w:rsidR="001C64CB" w:rsidRPr="00AF4302">
              <w:rPr>
                <w:rFonts w:eastAsia="Times New Roman" w:cs="Times New Roman"/>
                <w:color w:val="000000"/>
                <w:lang w:eastAsia="en-GB"/>
              </w:rPr>
              <w:t>%</w:t>
            </w:r>
          </w:p>
        </w:tc>
        <w:tc>
          <w:tcPr>
            <w:tcW w:w="960" w:type="dxa"/>
            <w:noWrap/>
            <w:vAlign w:val="center"/>
            <w:hideMark/>
          </w:tcPr>
          <w:p w14:paraId="7CD2873F"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25.3</w:t>
            </w:r>
          </w:p>
        </w:tc>
        <w:tc>
          <w:tcPr>
            <w:tcW w:w="960" w:type="dxa"/>
            <w:noWrap/>
            <w:vAlign w:val="center"/>
            <w:hideMark/>
          </w:tcPr>
          <w:p w14:paraId="339B8322" w14:textId="77777777" w:rsidR="001C64CB" w:rsidRPr="00AF4302" w:rsidRDefault="001C64CB" w:rsidP="00226090">
            <w:pPr>
              <w:spacing w:after="0" w:line="240" w:lineRule="auto"/>
              <w:jc w:val="right"/>
              <w:rPr>
                <w:rFonts w:eastAsia="Times New Roman" w:cs="Times New Roman"/>
                <w:color w:val="000000"/>
                <w:lang w:eastAsia="en-GB"/>
              </w:rPr>
            </w:pPr>
            <w:r w:rsidRPr="00AF4302">
              <w:rPr>
                <w:rFonts w:eastAsia="Times New Roman" w:cs="Times New Roman"/>
                <w:color w:val="000000"/>
                <w:lang w:eastAsia="en-GB"/>
              </w:rPr>
              <w:t>24.3</w:t>
            </w:r>
          </w:p>
        </w:tc>
      </w:tr>
      <w:tr w:rsidR="001C64CB" w:rsidRPr="00AF4302" w14:paraId="56559317" w14:textId="77777777" w:rsidTr="00226090">
        <w:trPr>
          <w:trHeight w:val="300"/>
          <w:jc w:val="center"/>
        </w:trPr>
        <w:tc>
          <w:tcPr>
            <w:tcW w:w="2020" w:type="dxa"/>
            <w:tcBorders>
              <w:top w:val="nil"/>
              <w:left w:val="nil"/>
              <w:bottom w:val="single" w:sz="4" w:space="0" w:color="auto"/>
              <w:right w:val="nil"/>
            </w:tcBorders>
            <w:noWrap/>
            <w:vAlign w:val="bottom"/>
            <w:hideMark/>
          </w:tcPr>
          <w:p w14:paraId="2B8CB787" w14:textId="77777777" w:rsidR="001C64CB" w:rsidRPr="00A85BF7" w:rsidRDefault="001C64CB">
            <w:pPr>
              <w:spacing w:after="0" w:line="240" w:lineRule="auto"/>
              <w:rPr>
                <w:rFonts w:eastAsia="Times New Roman" w:cs="Times New Roman"/>
                <w:b/>
                <w:color w:val="000000"/>
                <w:lang w:eastAsia="en-GB"/>
              </w:rPr>
            </w:pPr>
            <w:r w:rsidRPr="00A85BF7">
              <w:rPr>
                <w:rFonts w:eastAsia="Times New Roman" w:cs="Times New Roman"/>
                <w:b/>
                <w:color w:val="000000"/>
                <w:lang w:eastAsia="en-GB"/>
              </w:rPr>
              <w:t>Total</w:t>
            </w:r>
          </w:p>
        </w:tc>
        <w:tc>
          <w:tcPr>
            <w:tcW w:w="960" w:type="dxa"/>
            <w:tcBorders>
              <w:top w:val="nil"/>
              <w:left w:val="nil"/>
              <w:bottom w:val="single" w:sz="4" w:space="0" w:color="auto"/>
              <w:right w:val="nil"/>
            </w:tcBorders>
            <w:noWrap/>
            <w:vAlign w:val="center"/>
            <w:hideMark/>
          </w:tcPr>
          <w:p w14:paraId="50697D00" w14:textId="59535579" w:rsidR="001C64CB" w:rsidRPr="00A85BF7" w:rsidRDefault="003C66CB" w:rsidP="003C66CB">
            <w:pPr>
              <w:spacing w:after="0" w:line="240" w:lineRule="auto"/>
              <w:jc w:val="right"/>
              <w:rPr>
                <w:rFonts w:eastAsia="Times New Roman" w:cs="Times New Roman"/>
                <w:b/>
                <w:color w:val="000000"/>
                <w:lang w:eastAsia="en-GB"/>
              </w:rPr>
            </w:pPr>
            <w:r>
              <w:rPr>
                <w:rFonts w:eastAsia="Times New Roman" w:cs="Times New Roman"/>
                <w:b/>
                <w:color w:val="000000"/>
                <w:lang w:eastAsia="en-GB"/>
              </w:rPr>
              <w:t>90</w:t>
            </w:r>
            <w:r w:rsidR="001C64CB" w:rsidRPr="00A85BF7">
              <w:rPr>
                <w:rFonts w:eastAsia="Times New Roman" w:cs="Times New Roman"/>
                <w:b/>
                <w:color w:val="000000"/>
                <w:lang w:eastAsia="en-GB"/>
              </w:rPr>
              <w:t>%</w:t>
            </w:r>
          </w:p>
        </w:tc>
        <w:tc>
          <w:tcPr>
            <w:tcW w:w="960" w:type="dxa"/>
            <w:tcBorders>
              <w:top w:val="nil"/>
              <w:left w:val="nil"/>
              <w:bottom w:val="single" w:sz="4" w:space="0" w:color="auto"/>
              <w:right w:val="nil"/>
            </w:tcBorders>
            <w:noWrap/>
            <w:vAlign w:val="center"/>
            <w:hideMark/>
          </w:tcPr>
          <w:p w14:paraId="79ED435C" w14:textId="288A30AB" w:rsidR="001C64CB" w:rsidRPr="00A85BF7" w:rsidRDefault="003C66CB" w:rsidP="00226090">
            <w:pPr>
              <w:spacing w:after="0" w:line="240" w:lineRule="auto"/>
              <w:jc w:val="right"/>
              <w:rPr>
                <w:rFonts w:eastAsia="Times New Roman" w:cs="Times New Roman"/>
                <w:b/>
                <w:color w:val="000000"/>
                <w:lang w:eastAsia="en-GB"/>
              </w:rPr>
            </w:pPr>
            <w:r>
              <w:rPr>
                <w:rFonts w:eastAsia="Times New Roman" w:cs="Times New Roman"/>
                <w:b/>
                <w:color w:val="000000"/>
                <w:lang w:eastAsia="en-GB"/>
              </w:rPr>
              <w:t>95</w:t>
            </w:r>
            <w:r w:rsidR="001C64CB" w:rsidRPr="00A85BF7">
              <w:rPr>
                <w:rFonts w:eastAsia="Times New Roman" w:cs="Times New Roman"/>
                <w:b/>
                <w:color w:val="000000"/>
                <w:lang w:eastAsia="en-GB"/>
              </w:rPr>
              <w:t>%</w:t>
            </w:r>
          </w:p>
        </w:tc>
        <w:tc>
          <w:tcPr>
            <w:tcW w:w="960" w:type="dxa"/>
            <w:tcBorders>
              <w:top w:val="nil"/>
              <w:left w:val="nil"/>
              <w:bottom w:val="single" w:sz="4" w:space="0" w:color="auto"/>
              <w:right w:val="nil"/>
            </w:tcBorders>
            <w:noWrap/>
            <w:vAlign w:val="center"/>
            <w:hideMark/>
          </w:tcPr>
          <w:p w14:paraId="1E3E22E0" w14:textId="77777777" w:rsidR="001C64CB" w:rsidRPr="00A85BF7" w:rsidRDefault="001C64CB" w:rsidP="00226090">
            <w:pPr>
              <w:spacing w:after="0" w:line="240" w:lineRule="auto"/>
              <w:jc w:val="right"/>
              <w:rPr>
                <w:rFonts w:eastAsia="Times New Roman" w:cs="Times New Roman"/>
                <w:b/>
                <w:color w:val="000000"/>
                <w:lang w:eastAsia="en-GB"/>
              </w:rPr>
            </w:pPr>
            <w:r w:rsidRPr="00A85BF7">
              <w:rPr>
                <w:rFonts w:eastAsia="Times New Roman" w:cs="Times New Roman"/>
                <w:b/>
                <w:color w:val="000000"/>
                <w:lang w:eastAsia="en-GB"/>
              </w:rPr>
              <w:t>309.9</w:t>
            </w:r>
          </w:p>
        </w:tc>
        <w:tc>
          <w:tcPr>
            <w:tcW w:w="960" w:type="dxa"/>
            <w:tcBorders>
              <w:top w:val="nil"/>
              <w:left w:val="nil"/>
              <w:bottom w:val="single" w:sz="4" w:space="0" w:color="auto"/>
              <w:right w:val="nil"/>
            </w:tcBorders>
            <w:noWrap/>
            <w:vAlign w:val="center"/>
            <w:hideMark/>
          </w:tcPr>
          <w:p w14:paraId="50CCA7FE" w14:textId="77777777" w:rsidR="001C64CB" w:rsidRPr="00A85BF7" w:rsidRDefault="001C64CB" w:rsidP="00226090">
            <w:pPr>
              <w:spacing w:after="0" w:line="240" w:lineRule="auto"/>
              <w:jc w:val="right"/>
              <w:rPr>
                <w:rFonts w:eastAsia="Times New Roman" w:cs="Times New Roman"/>
                <w:b/>
                <w:color w:val="000000"/>
                <w:lang w:eastAsia="en-GB"/>
              </w:rPr>
            </w:pPr>
            <w:r w:rsidRPr="00A85BF7">
              <w:rPr>
                <w:rFonts w:eastAsia="Times New Roman" w:cs="Times New Roman"/>
                <w:b/>
                <w:color w:val="000000"/>
                <w:lang w:eastAsia="en-GB"/>
              </w:rPr>
              <w:t>294.9</w:t>
            </w:r>
          </w:p>
        </w:tc>
      </w:tr>
    </w:tbl>
    <w:p w14:paraId="2BF8AEB3" w14:textId="3E6C1B7C" w:rsidR="001C64CB" w:rsidRDefault="001C64CB" w:rsidP="001C64CB"/>
    <w:p w14:paraId="54673EB6" w14:textId="5F3D8CC4" w:rsidR="00F903DE" w:rsidRDefault="00F903DE" w:rsidP="001C64CB">
      <w:r>
        <w:t xml:space="preserve">Attrition is also related to region. Generally, those from the 2013 who attended schools in the North East of England were </w:t>
      </w:r>
      <w:r w:rsidR="00BC5DF6">
        <w:t>most</w:t>
      </w:r>
      <w:r>
        <w:t xml:space="preserve"> likely to be observed in 2019</w:t>
      </w:r>
      <w:r w:rsidR="00882925">
        <w:t xml:space="preserve"> and those in London were </w:t>
      </w:r>
      <w:r w:rsidR="00BC5DF6">
        <w:t>least</w:t>
      </w:r>
      <w:r w:rsidR="00882925">
        <w:t xml:space="preserve"> likely. This is summarised in </w:t>
      </w:r>
      <w:r w:rsidR="00882925">
        <w:fldChar w:fldCharType="begin"/>
      </w:r>
      <w:r w:rsidR="00882925">
        <w:instrText xml:space="preserve"> REF _Ref116490518 \h </w:instrText>
      </w:r>
      <w:r w:rsidR="00882925">
        <w:fldChar w:fldCharType="separate"/>
      </w:r>
      <w:r w:rsidR="00882925">
        <w:t xml:space="preserve">Table </w:t>
      </w:r>
      <w:r w:rsidR="00882925">
        <w:rPr>
          <w:noProof/>
        </w:rPr>
        <w:t>3</w:t>
      </w:r>
      <w:r w:rsidR="00882925">
        <w:fldChar w:fldCharType="end"/>
      </w:r>
      <w:r w:rsidR="00882925">
        <w:t>.</w:t>
      </w:r>
      <w:r>
        <w:t xml:space="preserve"> </w:t>
      </w:r>
    </w:p>
    <w:p w14:paraId="5B7D4A6D" w14:textId="737DE68B" w:rsidR="00F903DE" w:rsidRDefault="00F903DE" w:rsidP="00F903DE">
      <w:pPr>
        <w:pStyle w:val="Caption"/>
        <w:keepNext/>
      </w:pPr>
      <w:bookmarkStart w:id="4" w:name="_Ref116490518"/>
      <w:r>
        <w:t xml:space="preserve">Table </w:t>
      </w:r>
      <w:r w:rsidR="00E14893">
        <w:fldChar w:fldCharType="begin"/>
      </w:r>
      <w:r w:rsidR="00E14893">
        <w:instrText xml:space="preserve"> SEQ Table \* ARABIC </w:instrText>
      </w:r>
      <w:r w:rsidR="00E14893">
        <w:fldChar w:fldCharType="separate"/>
      </w:r>
      <w:r w:rsidR="0005315D">
        <w:rPr>
          <w:noProof/>
        </w:rPr>
        <w:t>3</w:t>
      </w:r>
      <w:r w:rsidR="00E14893">
        <w:rPr>
          <w:noProof/>
        </w:rPr>
        <w:fldChar w:fldCharType="end"/>
      </w:r>
      <w:bookmarkEnd w:id="4"/>
      <w:r>
        <w:t>: A summary of attrition from the 2013 Key Stage 4 cohort by the region in which individuals attended school at age 16. Attrition is shown separately for those who were never eligible for free school meals (FSM), those who were eligible for 25% of school terms or fewer, and those who were eligible for 80% of school terms or more. Attrition rates for those who were eligible for more than 25% but fewer than 80% of terms are omitted.</w:t>
      </w:r>
    </w:p>
    <w:tbl>
      <w:tblPr>
        <w:tblW w:w="8874" w:type="dxa"/>
        <w:tblLook w:val="04A0" w:firstRow="1" w:lastRow="0" w:firstColumn="1" w:lastColumn="0" w:noHBand="0" w:noVBand="1"/>
      </w:tblPr>
      <w:tblGrid>
        <w:gridCol w:w="2778"/>
        <w:gridCol w:w="936"/>
        <w:gridCol w:w="1048"/>
        <w:gridCol w:w="938"/>
        <w:gridCol w:w="1188"/>
        <w:gridCol w:w="1048"/>
        <w:gridCol w:w="938"/>
      </w:tblGrid>
      <w:tr w:rsidR="00F903DE" w:rsidRPr="00F903DE" w14:paraId="194D44BC" w14:textId="77777777" w:rsidTr="00F903DE">
        <w:trPr>
          <w:trHeight w:val="607"/>
        </w:trPr>
        <w:tc>
          <w:tcPr>
            <w:tcW w:w="2778" w:type="dxa"/>
            <w:tcBorders>
              <w:top w:val="nil"/>
              <w:left w:val="nil"/>
              <w:bottom w:val="nil"/>
              <w:right w:val="nil"/>
            </w:tcBorders>
            <w:shd w:val="clear" w:color="auto" w:fill="auto"/>
            <w:noWrap/>
            <w:vAlign w:val="bottom"/>
            <w:hideMark/>
          </w:tcPr>
          <w:p w14:paraId="14D3609A" w14:textId="77777777" w:rsidR="00F903DE" w:rsidRPr="00F903DE" w:rsidRDefault="00F903DE" w:rsidP="00F903DE">
            <w:pPr>
              <w:spacing w:after="0" w:line="240" w:lineRule="auto"/>
              <w:rPr>
                <w:rFonts w:ascii="Times New Roman" w:eastAsia="Times New Roman" w:hAnsi="Times New Roman" w:cs="Times New Roman"/>
                <w:sz w:val="24"/>
                <w:szCs w:val="24"/>
                <w:lang w:eastAsia="en-GB"/>
              </w:rPr>
            </w:pPr>
          </w:p>
        </w:tc>
        <w:tc>
          <w:tcPr>
            <w:tcW w:w="2922" w:type="dxa"/>
            <w:gridSpan w:val="3"/>
            <w:tcBorders>
              <w:top w:val="nil"/>
              <w:left w:val="nil"/>
              <w:bottom w:val="single" w:sz="4" w:space="0" w:color="auto"/>
              <w:right w:val="nil"/>
            </w:tcBorders>
            <w:shd w:val="clear" w:color="auto" w:fill="auto"/>
            <w:vAlign w:val="bottom"/>
            <w:hideMark/>
          </w:tcPr>
          <w:p w14:paraId="0C2DC16D" w14:textId="5D49A377" w:rsidR="00F903DE" w:rsidRPr="00F903DE" w:rsidRDefault="00F903DE" w:rsidP="00F903DE">
            <w:pPr>
              <w:spacing w:after="0" w:line="240" w:lineRule="auto"/>
              <w:jc w:val="center"/>
              <w:rPr>
                <w:rFonts w:eastAsia="Times New Roman" w:cs="Arial"/>
                <w:color w:val="000000"/>
                <w:lang w:eastAsia="en-GB"/>
              </w:rPr>
            </w:pPr>
            <w:r w:rsidRPr="00F903DE">
              <w:rPr>
                <w:rFonts w:eastAsia="Times New Roman" w:cs="Arial"/>
                <w:color w:val="000000"/>
                <w:lang w:eastAsia="en-GB"/>
              </w:rPr>
              <w:t>% observed in 2019,</w:t>
            </w:r>
            <w:r w:rsidRPr="00F903DE">
              <w:rPr>
                <w:rFonts w:eastAsia="Times New Roman" w:cs="Arial"/>
                <w:color w:val="000000"/>
                <w:lang w:eastAsia="en-GB"/>
              </w:rPr>
              <w:br/>
              <w:t xml:space="preserve">by </w:t>
            </w:r>
            <w:r>
              <w:rPr>
                <w:rFonts w:eastAsia="Times New Roman" w:cs="Arial"/>
                <w:color w:val="000000"/>
                <w:lang w:eastAsia="en-GB"/>
              </w:rPr>
              <w:t xml:space="preserve">% </w:t>
            </w:r>
            <w:r w:rsidRPr="00F903DE">
              <w:rPr>
                <w:rFonts w:eastAsia="Times New Roman" w:cs="Arial"/>
                <w:color w:val="000000"/>
                <w:lang w:eastAsia="en-GB"/>
              </w:rPr>
              <w:t>terms eligible for FSM</w:t>
            </w:r>
          </w:p>
        </w:tc>
        <w:tc>
          <w:tcPr>
            <w:tcW w:w="3174" w:type="dxa"/>
            <w:gridSpan w:val="3"/>
            <w:tcBorders>
              <w:top w:val="nil"/>
              <w:left w:val="nil"/>
              <w:bottom w:val="single" w:sz="4" w:space="0" w:color="auto"/>
              <w:right w:val="nil"/>
            </w:tcBorders>
            <w:shd w:val="clear" w:color="auto" w:fill="auto"/>
            <w:vAlign w:val="bottom"/>
            <w:hideMark/>
          </w:tcPr>
          <w:p w14:paraId="52621F08" w14:textId="3E53DB52" w:rsidR="00F903DE" w:rsidRPr="00F903DE" w:rsidRDefault="00F903DE" w:rsidP="00F903DE">
            <w:pPr>
              <w:spacing w:after="0" w:line="240" w:lineRule="auto"/>
              <w:jc w:val="center"/>
              <w:rPr>
                <w:rFonts w:eastAsia="Times New Roman" w:cs="Arial"/>
                <w:color w:val="000000"/>
                <w:lang w:eastAsia="en-GB"/>
              </w:rPr>
            </w:pPr>
            <w:r w:rsidRPr="00F903DE">
              <w:rPr>
                <w:rFonts w:eastAsia="Times New Roman" w:cs="Arial"/>
                <w:color w:val="000000"/>
                <w:lang w:eastAsia="en-GB"/>
              </w:rPr>
              <w:t>Total cohort (000s),</w:t>
            </w:r>
            <w:r w:rsidRPr="00F903DE">
              <w:rPr>
                <w:rFonts w:eastAsia="Times New Roman" w:cs="Arial"/>
                <w:color w:val="000000"/>
                <w:lang w:eastAsia="en-GB"/>
              </w:rPr>
              <w:br/>
              <w:t xml:space="preserve">by </w:t>
            </w:r>
            <w:r>
              <w:rPr>
                <w:rFonts w:eastAsia="Times New Roman" w:cs="Arial"/>
                <w:color w:val="000000"/>
                <w:lang w:eastAsia="en-GB"/>
              </w:rPr>
              <w:t xml:space="preserve">% </w:t>
            </w:r>
            <w:r w:rsidRPr="00F903DE">
              <w:rPr>
                <w:rFonts w:eastAsia="Times New Roman" w:cs="Arial"/>
                <w:color w:val="000000"/>
                <w:lang w:eastAsia="en-GB"/>
              </w:rPr>
              <w:t>terms eligible for FSM</w:t>
            </w:r>
          </w:p>
        </w:tc>
      </w:tr>
      <w:tr w:rsidR="00F903DE" w:rsidRPr="00F903DE" w14:paraId="70021F43" w14:textId="77777777" w:rsidTr="00226090">
        <w:trPr>
          <w:trHeight w:val="607"/>
        </w:trPr>
        <w:tc>
          <w:tcPr>
            <w:tcW w:w="2778" w:type="dxa"/>
            <w:tcBorders>
              <w:top w:val="nil"/>
              <w:left w:val="nil"/>
              <w:bottom w:val="single" w:sz="4" w:space="0" w:color="auto"/>
              <w:right w:val="nil"/>
            </w:tcBorders>
            <w:shd w:val="clear" w:color="auto" w:fill="auto"/>
            <w:vAlign w:val="center"/>
            <w:hideMark/>
          </w:tcPr>
          <w:p w14:paraId="44529712" w14:textId="77777777" w:rsidR="00F903DE" w:rsidRPr="00F903DE" w:rsidRDefault="00F903DE" w:rsidP="00F903DE">
            <w:pPr>
              <w:spacing w:after="0" w:line="240" w:lineRule="auto"/>
              <w:rPr>
                <w:rFonts w:eastAsia="Times New Roman" w:cs="Arial"/>
                <w:color w:val="000000"/>
                <w:lang w:eastAsia="en-GB"/>
              </w:rPr>
            </w:pPr>
            <w:r w:rsidRPr="00F903DE">
              <w:rPr>
                <w:rFonts w:eastAsia="Times New Roman" w:cs="Arial"/>
                <w:color w:val="000000"/>
                <w:lang w:eastAsia="en-GB"/>
              </w:rPr>
              <w:t>Region</w:t>
            </w:r>
          </w:p>
        </w:tc>
        <w:tc>
          <w:tcPr>
            <w:tcW w:w="936" w:type="dxa"/>
            <w:tcBorders>
              <w:top w:val="nil"/>
              <w:left w:val="nil"/>
              <w:bottom w:val="single" w:sz="4" w:space="0" w:color="auto"/>
              <w:right w:val="nil"/>
            </w:tcBorders>
            <w:shd w:val="clear" w:color="auto" w:fill="auto"/>
            <w:vAlign w:val="center"/>
            <w:hideMark/>
          </w:tcPr>
          <w:p w14:paraId="2F7A5EEA" w14:textId="77777777" w:rsidR="00F903DE" w:rsidRPr="00F903DE" w:rsidRDefault="00F903DE" w:rsidP="00226090">
            <w:pPr>
              <w:spacing w:after="0" w:line="240" w:lineRule="auto"/>
              <w:jc w:val="right"/>
              <w:rPr>
                <w:rFonts w:eastAsia="Times New Roman" w:cs="Arial"/>
                <w:color w:val="000000"/>
                <w:lang w:eastAsia="en-GB"/>
              </w:rPr>
            </w:pPr>
            <w:r w:rsidRPr="00F903DE">
              <w:rPr>
                <w:rFonts w:eastAsia="Times New Roman" w:cs="Arial"/>
                <w:color w:val="000000"/>
                <w:lang w:eastAsia="en-GB"/>
              </w:rPr>
              <w:t>Never</w:t>
            </w:r>
          </w:p>
        </w:tc>
        <w:tc>
          <w:tcPr>
            <w:tcW w:w="1048" w:type="dxa"/>
            <w:tcBorders>
              <w:top w:val="nil"/>
              <w:left w:val="nil"/>
              <w:bottom w:val="single" w:sz="4" w:space="0" w:color="auto"/>
              <w:right w:val="nil"/>
            </w:tcBorders>
            <w:shd w:val="clear" w:color="auto" w:fill="auto"/>
            <w:vAlign w:val="center"/>
            <w:hideMark/>
          </w:tcPr>
          <w:p w14:paraId="0497F487" w14:textId="77777777" w:rsidR="00F903DE" w:rsidRPr="00F903DE" w:rsidRDefault="00F903DE" w:rsidP="00226090">
            <w:pPr>
              <w:spacing w:after="0" w:line="240" w:lineRule="auto"/>
              <w:jc w:val="right"/>
              <w:rPr>
                <w:rFonts w:eastAsia="Times New Roman" w:cs="Arial"/>
                <w:color w:val="000000"/>
                <w:lang w:eastAsia="en-GB"/>
              </w:rPr>
            </w:pPr>
            <w:r w:rsidRPr="00F903DE">
              <w:rPr>
                <w:rFonts w:eastAsia="Times New Roman" w:cs="Arial"/>
                <w:color w:val="000000"/>
                <w:lang w:eastAsia="en-GB"/>
              </w:rPr>
              <w:t>&lt;=25%</w:t>
            </w:r>
          </w:p>
        </w:tc>
        <w:tc>
          <w:tcPr>
            <w:tcW w:w="938" w:type="dxa"/>
            <w:tcBorders>
              <w:top w:val="nil"/>
              <w:left w:val="nil"/>
              <w:bottom w:val="single" w:sz="4" w:space="0" w:color="auto"/>
              <w:right w:val="nil"/>
            </w:tcBorders>
            <w:shd w:val="clear" w:color="auto" w:fill="auto"/>
            <w:vAlign w:val="center"/>
            <w:hideMark/>
          </w:tcPr>
          <w:p w14:paraId="548C9763" w14:textId="77777777" w:rsidR="00F903DE" w:rsidRPr="00F903DE" w:rsidRDefault="00F903DE" w:rsidP="00226090">
            <w:pPr>
              <w:spacing w:after="0" w:line="240" w:lineRule="auto"/>
              <w:jc w:val="right"/>
              <w:rPr>
                <w:rFonts w:eastAsia="Times New Roman" w:cs="Arial"/>
                <w:color w:val="000000"/>
                <w:lang w:eastAsia="en-GB"/>
              </w:rPr>
            </w:pPr>
            <w:r w:rsidRPr="00F903DE">
              <w:rPr>
                <w:rFonts w:eastAsia="Times New Roman" w:cs="Arial"/>
                <w:color w:val="000000"/>
                <w:lang w:eastAsia="en-GB"/>
              </w:rPr>
              <w:t>80% or more</w:t>
            </w:r>
          </w:p>
        </w:tc>
        <w:tc>
          <w:tcPr>
            <w:tcW w:w="1188" w:type="dxa"/>
            <w:tcBorders>
              <w:top w:val="nil"/>
              <w:left w:val="nil"/>
              <w:bottom w:val="single" w:sz="4" w:space="0" w:color="auto"/>
              <w:right w:val="nil"/>
            </w:tcBorders>
            <w:shd w:val="clear" w:color="auto" w:fill="auto"/>
            <w:vAlign w:val="center"/>
            <w:hideMark/>
          </w:tcPr>
          <w:p w14:paraId="3098A195" w14:textId="77777777" w:rsidR="00F903DE" w:rsidRPr="00F903DE" w:rsidRDefault="00F903DE" w:rsidP="00226090">
            <w:pPr>
              <w:spacing w:after="0" w:line="240" w:lineRule="auto"/>
              <w:jc w:val="right"/>
              <w:rPr>
                <w:rFonts w:eastAsia="Times New Roman" w:cs="Arial"/>
                <w:color w:val="000000"/>
                <w:lang w:eastAsia="en-GB"/>
              </w:rPr>
            </w:pPr>
            <w:r w:rsidRPr="00F903DE">
              <w:rPr>
                <w:rFonts w:eastAsia="Times New Roman" w:cs="Arial"/>
                <w:color w:val="000000"/>
                <w:lang w:eastAsia="en-GB"/>
              </w:rPr>
              <w:t>Never</w:t>
            </w:r>
          </w:p>
        </w:tc>
        <w:tc>
          <w:tcPr>
            <w:tcW w:w="1048" w:type="dxa"/>
            <w:tcBorders>
              <w:top w:val="nil"/>
              <w:left w:val="nil"/>
              <w:bottom w:val="single" w:sz="4" w:space="0" w:color="auto"/>
              <w:right w:val="nil"/>
            </w:tcBorders>
            <w:shd w:val="clear" w:color="auto" w:fill="auto"/>
            <w:vAlign w:val="center"/>
            <w:hideMark/>
          </w:tcPr>
          <w:p w14:paraId="6A7BAB31" w14:textId="77777777" w:rsidR="00F903DE" w:rsidRPr="00F903DE" w:rsidRDefault="00F903DE" w:rsidP="00226090">
            <w:pPr>
              <w:spacing w:after="0" w:line="240" w:lineRule="auto"/>
              <w:jc w:val="right"/>
              <w:rPr>
                <w:rFonts w:eastAsia="Times New Roman" w:cs="Arial"/>
                <w:color w:val="000000"/>
                <w:lang w:eastAsia="en-GB"/>
              </w:rPr>
            </w:pPr>
            <w:r w:rsidRPr="00F903DE">
              <w:rPr>
                <w:rFonts w:eastAsia="Times New Roman" w:cs="Arial"/>
                <w:color w:val="000000"/>
                <w:lang w:eastAsia="en-GB"/>
              </w:rPr>
              <w:t>&lt;=25%</w:t>
            </w:r>
          </w:p>
        </w:tc>
        <w:tc>
          <w:tcPr>
            <w:tcW w:w="938" w:type="dxa"/>
            <w:tcBorders>
              <w:top w:val="nil"/>
              <w:left w:val="nil"/>
              <w:bottom w:val="single" w:sz="4" w:space="0" w:color="auto"/>
              <w:right w:val="nil"/>
            </w:tcBorders>
            <w:shd w:val="clear" w:color="auto" w:fill="auto"/>
            <w:vAlign w:val="center"/>
            <w:hideMark/>
          </w:tcPr>
          <w:p w14:paraId="25635D61" w14:textId="77777777" w:rsidR="00F903DE" w:rsidRPr="00F903DE" w:rsidRDefault="00F903DE" w:rsidP="00226090">
            <w:pPr>
              <w:spacing w:after="0" w:line="240" w:lineRule="auto"/>
              <w:jc w:val="right"/>
              <w:rPr>
                <w:rFonts w:eastAsia="Times New Roman" w:cs="Arial"/>
                <w:color w:val="000000"/>
                <w:lang w:eastAsia="en-GB"/>
              </w:rPr>
            </w:pPr>
            <w:r w:rsidRPr="00F903DE">
              <w:rPr>
                <w:rFonts w:eastAsia="Times New Roman" w:cs="Arial"/>
                <w:color w:val="000000"/>
                <w:lang w:eastAsia="en-GB"/>
              </w:rPr>
              <w:t>80% or more</w:t>
            </w:r>
          </w:p>
        </w:tc>
      </w:tr>
      <w:tr w:rsidR="003C66CB" w:rsidRPr="00F903DE" w14:paraId="35D64C78" w14:textId="77777777" w:rsidTr="003C66CB">
        <w:trPr>
          <w:trHeight w:val="303"/>
        </w:trPr>
        <w:tc>
          <w:tcPr>
            <w:tcW w:w="2778" w:type="dxa"/>
            <w:tcBorders>
              <w:top w:val="nil"/>
              <w:left w:val="nil"/>
              <w:bottom w:val="nil"/>
              <w:right w:val="nil"/>
            </w:tcBorders>
            <w:shd w:val="clear" w:color="auto" w:fill="auto"/>
            <w:vAlign w:val="center"/>
            <w:hideMark/>
          </w:tcPr>
          <w:p w14:paraId="1C76430E"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North East</w:t>
            </w:r>
          </w:p>
        </w:tc>
        <w:tc>
          <w:tcPr>
            <w:tcW w:w="936" w:type="dxa"/>
            <w:tcBorders>
              <w:top w:val="nil"/>
              <w:left w:val="nil"/>
              <w:bottom w:val="nil"/>
              <w:right w:val="nil"/>
            </w:tcBorders>
            <w:shd w:val="clear" w:color="auto" w:fill="auto"/>
            <w:noWrap/>
            <w:vAlign w:val="center"/>
            <w:hideMark/>
          </w:tcPr>
          <w:p w14:paraId="7FF73158" w14:textId="6E4A5C1F" w:rsidR="003C66CB" w:rsidRPr="00F903DE" w:rsidRDefault="003C66CB" w:rsidP="003C66CB">
            <w:pPr>
              <w:spacing w:after="0" w:line="240" w:lineRule="auto"/>
              <w:jc w:val="right"/>
              <w:rPr>
                <w:rFonts w:eastAsia="Times New Roman" w:cs="Arial"/>
                <w:color w:val="000000"/>
                <w:lang w:eastAsia="en-GB"/>
              </w:rPr>
            </w:pPr>
            <w:r w:rsidRPr="006A6EAA">
              <w:t>95%</w:t>
            </w:r>
          </w:p>
        </w:tc>
        <w:tc>
          <w:tcPr>
            <w:tcW w:w="1048" w:type="dxa"/>
            <w:tcBorders>
              <w:top w:val="nil"/>
              <w:left w:val="nil"/>
              <w:bottom w:val="nil"/>
              <w:right w:val="nil"/>
            </w:tcBorders>
            <w:shd w:val="clear" w:color="auto" w:fill="auto"/>
            <w:noWrap/>
            <w:vAlign w:val="center"/>
            <w:hideMark/>
          </w:tcPr>
          <w:p w14:paraId="492D0530" w14:textId="2FAD46EA" w:rsidR="003C66CB" w:rsidRPr="00F903DE" w:rsidRDefault="003C66CB" w:rsidP="003C66CB">
            <w:pPr>
              <w:spacing w:after="0" w:line="240" w:lineRule="auto"/>
              <w:jc w:val="right"/>
              <w:rPr>
                <w:rFonts w:eastAsia="Times New Roman" w:cs="Arial"/>
                <w:color w:val="000000"/>
                <w:lang w:eastAsia="en-GB"/>
              </w:rPr>
            </w:pPr>
            <w:r w:rsidRPr="006A6EAA">
              <w:t>94%</w:t>
            </w:r>
          </w:p>
        </w:tc>
        <w:tc>
          <w:tcPr>
            <w:tcW w:w="938" w:type="dxa"/>
            <w:tcBorders>
              <w:top w:val="nil"/>
              <w:left w:val="nil"/>
              <w:bottom w:val="nil"/>
              <w:right w:val="nil"/>
            </w:tcBorders>
            <w:shd w:val="clear" w:color="auto" w:fill="auto"/>
            <w:noWrap/>
            <w:vAlign w:val="center"/>
            <w:hideMark/>
          </w:tcPr>
          <w:p w14:paraId="5F2CE4F7" w14:textId="2CC67D1F" w:rsidR="003C66CB" w:rsidRPr="00F903DE" w:rsidRDefault="003C66CB" w:rsidP="003C66CB">
            <w:pPr>
              <w:spacing w:after="0" w:line="240" w:lineRule="auto"/>
              <w:jc w:val="right"/>
              <w:rPr>
                <w:rFonts w:eastAsia="Times New Roman" w:cs="Arial"/>
                <w:color w:val="000000"/>
                <w:lang w:eastAsia="en-GB"/>
              </w:rPr>
            </w:pPr>
            <w:r w:rsidRPr="006A6EAA">
              <w:t>93%</w:t>
            </w:r>
          </w:p>
        </w:tc>
        <w:tc>
          <w:tcPr>
            <w:tcW w:w="1188" w:type="dxa"/>
            <w:tcBorders>
              <w:top w:val="nil"/>
              <w:left w:val="nil"/>
              <w:bottom w:val="nil"/>
              <w:right w:val="nil"/>
            </w:tcBorders>
            <w:shd w:val="clear" w:color="auto" w:fill="auto"/>
            <w:noWrap/>
            <w:vAlign w:val="center"/>
            <w:hideMark/>
          </w:tcPr>
          <w:p w14:paraId="5858D276" w14:textId="7E5905CB" w:rsidR="003C66CB" w:rsidRPr="00F903DE" w:rsidRDefault="003C66CB" w:rsidP="003C66CB">
            <w:pPr>
              <w:spacing w:after="0" w:line="240" w:lineRule="auto"/>
              <w:jc w:val="right"/>
              <w:rPr>
                <w:rFonts w:eastAsia="Times New Roman" w:cs="Arial"/>
                <w:color w:val="000000"/>
                <w:lang w:eastAsia="en-GB"/>
              </w:rPr>
            </w:pPr>
            <w:r w:rsidRPr="005A7D82">
              <w:t>17.9</w:t>
            </w:r>
          </w:p>
        </w:tc>
        <w:tc>
          <w:tcPr>
            <w:tcW w:w="1048" w:type="dxa"/>
            <w:tcBorders>
              <w:top w:val="nil"/>
              <w:left w:val="nil"/>
              <w:bottom w:val="nil"/>
              <w:right w:val="nil"/>
            </w:tcBorders>
            <w:shd w:val="clear" w:color="auto" w:fill="auto"/>
            <w:noWrap/>
            <w:vAlign w:val="center"/>
            <w:hideMark/>
          </w:tcPr>
          <w:p w14:paraId="628EE6EF" w14:textId="10474C71" w:rsidR="003C66CB" w:rsidRPr="00F903DE" w:rsidRDefault="003C66CB" w:rsidP="003C66CB">
            <w:pPr>
              <w:spacing w:after="0" w:line="240" w:lineRule="auto"/>
              <w:jc w:val="right"/>
              <w:rPr>
                <w:rFonts w:eastAsia="Times New Roman" w:cs="Arial"/>
                <w:color w:val="000000"/>
                <w:lang w:eastAsia="en-GB"/>
              </w:rPr>
            </w:pPr>
            <w:r w:rsidRPr="005A7D82">
              <w:t>2.9</w:t>
            </w:r>
          </w:p>
        </w:tc>
        <w:tc>
          <w:tcPr>
            <w:tcW w:w="938" w:type="dxa"/>
            <w:tcBorders>
              <w:top w:val="nil"/>
              <w:left w:val="nil"/>
              <w:bottom w:val="nil"/>
              <w:right w:val="nil"/>
            </w:tcBorders>
            <w:shd w:val="clear" w:color="auto" w:fill="auto"/>
            <w:noWrap/>
            <w:vAlign w:val="center"/>
            <w:hideMark/>
          </w:tcPr>
          <w:p w14:paraId="1F3E5883" w14:textId="7D1E0F26" w:rsidR="003C66CB" w:rsidRPr="00F903DE" w:rsidRDefault="003C66CB" w:rsidP="003C66CB">
            <w:pPr>
              <w:spacing w:after="0" w:line="240" w:lineRule="auto"/>
              <w:jc w:val="right"/>
              <w:rPr>
                <w:rFonts w:eastAsia="Times New Roman" w:cs="Arial"/>
                <w:color w:val="000000"/>
                <w:lang w:eastAsia="en-GB"/>
              </w:rPr>
            </w:pPr>
            <w:r w:rsidRPr="005A7D82">
              <w:t>3.7</w:t>
            </w:r>
          </w:p>
        </w:tc>
      </w:tr>
      <w:tr w:rsidR="003C66CB" w:rsidRPr="00F903DE" w14:paraId="7A456861" w14:textId="77777777" w:rsidTr="003C66CB">
        <w:trPr>
          <w:trHeight w:val="303"/>
        </w:trPr>
        <w:tc>
          <w:tcPr>
            <w:tcW w:w="2778" w:type="dxa"/>
            <w:tcBorders>
              <w:top w:val="nil"/>
              <w:left w:val="nil"/>
              <w:bottom w:val="nil"/>
              <w:right w:val="nil"/>
            </w:tcBorders>
            <w:shd w:val="clear" w:color="auto" w:fill="auto"/>
            <w:vAlign w:val="center"/>
            <w:hideMark/>
          </w:tcPr>
          <w:p w14:paraId="794057E1"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East Midlands</w:t>
            </w:r>
          </w:p>
        </w:tc>
        <w:tc>
          <w:tcPr>
            <w:tcW w:w="936" w:type="dxa"/>
            <w:tcBorders>
              <w:top w:val="nil"/>
              <w:left w:val="nil"/>
              <w:bottom w:val="nil"/>
              <w:right w:val="nil"/>
            </w:tcBorders>
            <w:shd w:val="clear" w:color="auto" w:fill="auto"/>
            <w:noWrap/>
            <w:vAlign w:val="center"/>
            <w:hideMark/>
          </w:tcPr>
          <w:p w14:paraId="34784D19" w14:textId="796218EC" w:rsidR="003C66CB" w:rsidRPr="00F903DE" w:rsidRDefault="003C66CB" w:rsidP="003C66CB">
            <w:pPr>
              <w:spacing w:after="0" w:line="240" w:lineRule="auto"/>
              <w:jc w:val="right"/>
              <w:rPr>
                <w:rFonts w:eastAsia="Times New Roman" w:cs="Arial"/>
                <w:color w:val="000000"/>
                <w:lang w:eastAsia="en-GB"/>
              </w:rPr>
            </w:pPr>
            <w:r w:rsidRPr="006A6EAA">
              <w:t>93%</w:t>
            </w:r>
          </w:p>
        </w:tc>
        <w:tc>
          <w:tcPr>
            <w:tcW w:w="1048" w:type="dxa"/>
            <w:tcBorders>
              <w:top w:val="nil"/>
              <w:left w:val="nil"/>
              <w:bottom w:val="nil"/>
              <w:right w:val="nil"/>
            </w:tcBorders>
            <w:shd w:val="clear" w:color="auto" w:fill="auto"/>
            <w:noWrap/>
            <w:vAlign w:val="center"/>
            <w:hideMark/>
          </w:tcPr>
          <w:p w14:paraId="06328364" w14:textId="4B56099F" w:rsidR="003C66CB" w:rsidRPr="00F903DE" w:rsidRDefault="003C66CB" w:rsidP="003C66CB">
            <w:pPr>
              <w:spacing w:after="0" w:line="240" w:lineRule="auto"/>
              <w:jc w:val="right"/>
              <w:rPr>
                <w:rFonts w:eastAsia="Times New Roman" w:cs="Arial"/>
                <w:color w:val="000000"/>
                <w:lang w:eastAsia="en-GB"/>
              </w:rPr>
            </w:pPr>
            <w:r w:rsidRPr="006A6EAA">
              <w:t>94%</w:t>
            </w:r>
          </w:p>
        </w:tc>
        <w:tc>
          <w:tcPr>
            <w:tcW w:w="938" w:type="dxa"/>
            <w:tcBorders>
              <w:top w:val="nil"/>
              <w:left w:val="nil"/>
              <w:bottom w:val="nil"/>
              <w:right w:val="nil"/>
            </w:tcBorders>
            <w:shd w:val="clear" w:color="auto" w:fill="auto"/>
            <w:noWrap/>
            <w:vAlign w:val="center"/>
            <w:hideMark/>
          </w:tcPr>
          <w:p w14:paraId="5AE7357E" w14:textId="4B81EDAD" w:rsidR="003C66CB" w:rsidRPr="00F903DE" w:rsidRDefault="003C66CB" w:rsidP="003C66CB">
            <w:pPr>
              <w:spacing w:after="0" w:line="240" w:lineRule="auto"/>
              <w:jc w:val="right"/>
              <w:rPr>
                <w:rFonts w:eastAsia="Times New Roman" w:cs="Arial"/>
                <w:color w:val="000000"/>
                <w:lang w:eastAsia="en-GB"/>
              </w:rPr>
            </w:pPr>
            <w:r w:rsidRPr="006A6EAA">
              <w:t>91%</w:t>
            </w:r>
          </w:p>
        </w:tc>
        <w:tc>
          <w:tcPr>
            <w:tcW w:w="1188" w:type="dxa"/>
            <w:tcBorders>
              <w:top w:val="nil"/>
              <w:left w:val="nil"/>
              <w:bottom w:val="nil"/>
              <w:right w:val="nil"/>
            </w:tcBorders>
            <w:shd w:val="clear" w:color="auto" w:fill="auto"/>
            <w:noWrap/>
            <w:vAlign w:val="center"/>
            <w:hideMark/>
          </w:tcPr>
          <w:p w14:paraId="72FC1C61" w14:textId="52C313FF" w:rsidR="003C66CB" w:rsidRPr="00F903DE" w:rsidRDefault="003C66CB" w:rsidP="003C66CB">
            <w:pPr>
              <w:spacing w:after="0" w:line="240" w:lineRule="auto"/>
              <w:jc w:val="right"/>
              <w:rPr>
                <w:rFonts w:eastAsia="Times New Roman" w:cs="Arial"/>
                <w:color w:val="000000"/>
                <w:lang w:eastAsia="en-GB"/>
              </w:rPr>
            </w:pPr>
            <w:r w:rsidRPr="005A7D82">
              <w:t>37.8</w:t>
            </w:r>
          </w:p>
        </w:tc>
        <w:tc>
          <w:tcPr>
            <w:tcW w:w="1048" w:type="dxa"/>
            <w:tcBorders>
              <w:top w:val="nil"/>
              <w:left w:val="nil"/>
              <w:bottom w:val="nil"/>
              <w:right w:val="nil"/>
            </w:tcBorders>
            <w:shd w:val="clear" w:color="auto" w:fill="auto"/>
            <w:noWrap/>
            <w:vAlign w:val="center"/>
            <w:hideMark/>
          </w:tcPr>
          <w:p w14:paraId="4CD9ADDF" w14:textId="4078DB42" w:rsidR="003C66CB" w:rsidRPr="00F903DE" w:rsidRDefault="003C66CB" w:rsidP="003C66CB">
            <w:pPr>
              <w:spacing w:after="0" w:line="240" w:lineRule="auto"/>
              <w:jc w:val="right"/>
              <w:rPr>
                <w:rFonts w:eastAsia="Times New Roman" w:cs="Arial"/>
                <w:color w:val="000000"/>
                <w:lang w:eastAsia="en-GB"/>
              </w:rPr>
            </w:pPr>
            <w:r w:rsidRPr="005A7D82">
              <w:t>4.6</w:t>
            </w:r>
          </w:p>
        </w:tc>
        <w:tc>
          <w:tcPr>
            <w:tcW w:w="938" w:type="dxa"/>
            <w:tcBorders>
              <w:top w:val="nil"/>
              <w:left w:val="nil"/>
              <w:bottom w:val="nil"/>
              <w:right w:val="nil"/>
            </w:tcBorders>
            <w:shd w:val="clear" w:color="auto" w:fill="auto"/>
            <w:noWrap/>
            <w:vAlign w:val="center"/>
            <w:hideMark/>
          </w:tcPr>
          <w:p w14:paraId="55F02EEF" w14:textId="0DD3B956" w:rsidR="003C66CB" w:rsidRPr="00F903DE" w:rsidRDefault="003C66CB" w:rsidP="003C66CB">
            <w:pPr>
              <w:spacing w:after="0" w:line="240" w:lineRule="auto"/>
              <w:jc w:val="right"/>
              <w:rPr>
                <w:rFonts w:eastAsia="Times New Roman" w:cs="Arial"/>
                <w:color w:val="000000"/>
                <w:lang w:eastAsia="en-GB"/>
              </w:rPr>
            </w:pPr>
            <w:r w:rsidRPr="005A7D82">
              <w:t>3.0</w:t>
            </w:r>
          </w:p>
        </w:tc>
      </w:tr>
      <w:tr w:rsidR="003C66CB" w:rsidRPr="00F903DE" w14:paraId="56CB34AB" w14:textId="77777777" w:rsidTr="003C66CB">
        <w:trPr>
          <w:trHeight w:val="303"/>
        </w:trPr>
        <w:tc>
          <w:tcPr>
            <w:tcW w:w="2778" w:type="dxa"/>
            <w:tcBorders>
              <w:top w:val="nil"/>
              <w:left w:val="nil"/>
              <w:bottom w:val="nil"/>
              <w:right w:val="nil"/>
            </w:tcBorders>
            <w:shd w:val="clear" w:color="auto" w:fill="auto"/>
            <w:vAlign w:val="center"/>
            <w:hideMark/>
          </w:tcPr>
          <w:p w14:paraId="53C23E1C"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North West</w:t>
            </w:r>
          </w:p>
        </w:tc>
        <w:tc>
          <w:tcPr>
            <w:tcW w:w="936" w:type="dxa"/>
            <w:tcBorders>
              <w:top w:val="nil"/>
              <w:left w:val="nil"/>
              <w:bottom w:val="nil"/>
              <w:right w:val="nil"/>
            </w:tcBorders>
            <w:shd w:val="clear" w:color="auto" w:fill="auto"/>
            <w:noWrap/>
            <w:vAlign w:val="center"/>
            <w:hideMark/>
          </w:tcPr>
          <w:p w14:paraId="5DD58F2A" w14:textId="43C7FBA6" w:rsidR="003C66CB" w:rsidRPr="00F903DE" w:rsidRDefault="003C66CB" w:rsidP="003C66CB">
            <w:pPr>
              <w:spacing w:after="0" w:line="240" w:lineRule="auto"/>
              <w:jc w:val="right"/>
              <w:rPr>
                <w:rFonts w:eastAsia="Times New Roman" w:cs="Arial"/>
                <w:color w:val="000000"/>
                <w:lang w:eastAsia="en-GB"/>
              </w:rPr>
            </w:pPr>
            <w:r w:rsidRPr="006A6EAA">
              <w:t>94%</w:t>
            </w:r>
          </w:p>
        </w:tc>
        <w:tc>
          <w:tcPr>
            <w:tcW w:w="1048" w:type="dxa"/>
            <w:tcBorders>
              <w:top w:val="nil"/>
              <w:left w:val="nil"/>
              <w:bottom w:val="nil"/>
              <w:right w:val="nil"/>
            </w:tcBorders>
            <w:shd w:val="clear" w:color="auto" w:fill="auto"/>
            <w:noWrap/>
            <w:vAlign w:val="center"/>
            <w:hideMark/>
          </w:tcPr>
          <w:p w14:paraId="64E213AD" w14:textId="342E912C" w:rsidR="003C66CB" w:rsidRPr="00F903DE" w:rsidRDefault="003C66CB" w:rsidP="003C66CB">
            <w:pPr>
              <w:spacing w:after="0" w:line="240" w:lineRule="auto"/>
              <w:jc w:val="right"/>
              <w:rPr>
                <w:rFonts w:eastAsia="Times New Roman" w:cs="Arial"/>
                <w:color w:val="000000"/>
                <w:lang w:eastAsia="en-GB"/>
              </w:rPr>
            </w:pPr>
            <w:r w:rsidRPr="006A6EAA">
              <w:t>93%</w:t>
            </w:r>
          </w:p>
        </w:tc>
        <w:tc>
          <w:tcPr>
            <w:tcW w:w="938" w:type="dxa"/>
            <w:tcBorders>
              <w:top w:val="nil"/>
              <w:left w:val="nil"/>
              <w:bottom w:val="nil"/>
              <w:right w:val="nil"/>
            </w:tcBorders>
            <w:shd w:val="clear" w:color="auto" w:fill="auto"/>
            <w:noWrap/>
            <w:vAlign w:val="center"/>
            <w:hideMark/>
          </w:tcPr>
          <w:p w14:paraId="5019B062" w14:textId="5C23BBE2" w:rsidR="003C66CB" w:rsidRPr="00F903DE" w:rsidRDefault="003C66CB" w:rsidP="003C66CB">
            <w:pPr>
              <w:spacing w:after="0" w:line="240" w:lineRule="auto"/>
              <w:jc w:val="right"/>
              <w:rPr>
                <w:rFonts w:eastAsia="Times New Roman" w:cs="Arial"/>
                <w:color w:val="000000"/>
                <w:lang w:eastAsia="en-GB"/>
              </w:rPr>
            </w:pPr>
            <w:r w:rsidRPr="006A6EAA">
              <w:t>92%</w:t>
            </w:r>
          </w:p>
        </w:tc>
        <w:tc>
          <w:tcPr>
            <w:tcW w:w="1188" w:type="dxa"/>
            <w:tcBorders>
              <w:top w:val="nil"/>
              <w:left w:val="nil"/>
              <w:bottom w:val="nil"/>
              <w:right w:val="nil"/>
            </w:tcBorders>
            <w:shd w:val="clear" w:color="auto" w:fill="auto"/>
            <w:noWrap/>
            <w:vAlign w:val="center"/>
            <w:hideMark/>
          </w:tcPr>
          <w:p w14:paraId="049085F5" w14:textId="73A58B33" w:rsidR="003C66CB" w:rsidRPr="00F903DE" w:rsidRDefault="003C66CB" w:rsidP="003C66CB">
            <w:pPr>
              <w:spacing w:after="0" w:line="240" w:lineRule="auto"/>
              <w:jc w:val="right"/>
              <w:rPr>
                <w:rFonts w:eastAsia="Times New Roman" w:cs="Arial"/>
                <w:color w:val="000000"/>
                <w:lang w:eastAsia="en-GB"/>
              </w:rPr>
            </w:pPr>
            <w:r w:rsidRPr="005A7D82">
              <w:t>53.1</w:t>
            </w:r>
          </w:p>
        </w:tc>
        <w:tc>
          <w:tcPr>
            <w:tcW w:w="1048" w:type="dxa"/>
            <w:tcBorders>
              <w:top w:val="nil"/>
              <w:left w:val="nil"/>
              <w:bottom w:val="nil"/>
              <w:right w:val="nil"/>
            </w:tcBorders>
            <w:shd w:val="clear" w:color="auto" w:fill="auto"/>
            <w:noWrap/>
            <w:vAlign w:val="center"/>
            <w:hideMark/>
          </w:tcPr>
          <w:p w14:paraId="376FC020" w14:textId="3A68DC64" w:rsidR="003C66CB" w:rsidRPr="00F903DE" w:rsidRDefault="003C66CB" w:rsidP="003C66CB">
            <w:pPr>
              <w:spacing w:after="0" w:line="240" w:lineRule="auto"/>
              <w:jc w:val="right"/>
              <w:rPr>
                <w:rFonts w:eastAsia="Times New Roman" w:cs="Arial"/>
                <w:color w:val="000000"/>
                <w:lang w:eastAsia="en-GB"/>
              </w:rPr>
            </w:pPr>
            <w:r w:rsidRPr="005A7D82">
              <w:t>7.2</w:t>
            </w:r>
          </w:p>
        </w:tc>
        <w:tc>
          <w:tcPr>
            <w:tcW w:w="938" w:type="dxa"/>
            <w:tcBorders>
              <w:top w:val="nil"/>
              <w:left w:val="nil"/>
              <w:bottom w:val="nil"/>
              <w:right w:val="nil"/>
            </w:tcBorders>
            <w:shd w:val="clear" w:color="auto" w:fill="auto"/>
            <w:noWrap/>
            <w:vAlign w:val="center"/>
            <w:hideMark/>
          </w:tcPr>
          <w:p w14:paraId="552A6756" w14:textId="7E283AA5" w:rsidR="003C66CB" w:rsidRPr="00F903DE" w:rsidRDefault="003C66CB" w:rsidP="003C66CB">
            <w:pPr>
              <w:spacing w:after="0" w:line="240" w:lineRule="auto"/>
              <w:jc w:val="right"/>
              <w:rPr>
                <w:rFonts w:eastAsia="Times New Roman" w:cs="Arial"/>
                <w:color w:val="000000"/>
                <w:lang w:eastAsia="en-GB"/>
              </w:rPr>
            </w:pPr>
            <w:r w:rsidRPr="005A7D82">
              <w:t>9.2</w:t>
            </w:r>
          </w:p>
        </w:tc>
      </w:tr>
      <w:tr w:rsidR="003C66CB" w:rsidRPr="00F903DE" w14:paraId="68368F9C" w14:textId="77777777" w:rsidTr="003C66CB">
        <w:trPr>
          <w:trHeight w:val="303"/>
        </w:trPr>
        <w:tc>
          <w:tcPr>
            <w:tcW w:w="2778" w:type="dxa"/>
            <w:tcBorders>
              <w:top w:val="nil"/>
              <w:left w:val="nil"/>
              <w:bottom w:val="nil"/>
              <w:right w:val="nil"/>
            </w:tcBorders>
            <w:shd w:val="clear" w:color="auto" w:fill="auto"/>
            <w:vAlign w:val="center"/>
            <w:hideMark/>
          </w:tcPr>
          <w:p w14:paraId="4CB06993"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Yorkshire and the Humber</w:t>
            </w:r>
          </w:p>
        </w:tc>
        <w:tc>
          <w:tcPr>
            <w:tcW w:w="936" w:type="dxa"/>
            <w:tcBorders>
              <w:top w:val="nil"/>
              <w:left w:val="nil"/>
              <w:bottom w:val="nil"/>
              <w:right w:val="nil"/>
            </w:tcBorders>
            <w:shd w:val="clear" w:color="auto" w:fill="auto"/>
            <w:noWrap/>
            <w:vAlign w:val="center"/>
            <w:hideMark/>
          </w:tcPr>
          <w:p w14:paraId="26CF03FF" w14:textId="2BF114E0" w:rsidR="003C66CB" w:rsidRPr="00F903DE" w:rsidRDefault="003C66CB" w:rsidP="003C66CB">
            <w:pPr>
              <w:spacing w:after="0" w:line="240" w:lineRule="auto"/>
              <w:jc w:val="right"/>
              <w:rPr>
                <w:rFonts w:eastAsia="Times New Roman" w:cs="Arial"/>
                <w:color w:val="000000"/>
                <w:lang w:eastAsia="en-GB"/>
              </w:rPr>
            </w:pPr>
            <w:r w:rsidRPr="006A6EAA">
              <w:t>93%</w:t>
            </w:r>
          </w:p>
        </w:tc>
        <w:tc>
          <w:tcPr>
            <w:tcW w:w="1048" w:type="dxa"/>
            <w:tcBorders>
              <w:top w:val="nil"/>
              <w:left w:val="nil"/>
              <w:bottom w:val="nil"/>
              <w:right w:val="nil"/>
            </w:tcBorders>
            <w:shd w:val="clear" w:color="auto" w:fill="auto"/>
            <w:noWrap/>
            <w:vAlign w:val="center"/>
            <w:hideMark/>
          </w:tcPr>
          <w:p w14:paraId="6ED90E13" w14:textId="43D88592" w:rsidR="003C66CB" w:rsidRPr="00F903DE" w:rsidRDefault="003C66CB" w:rsidP="003C66CB">
            <w:pPr>
              <w:spacing w:after="0" w:line="240" w:lineRule="auto"/>
              <w:jc w:val="right"/>
              <w:rPr>
                <w:rFonts w:eastAsia="Times New Roman" w:cs="Arial"/>
                <w:color w:val="000000"/>
                <w:lang w:eastAsia="en-GB"/>
              </w:rPr>
            </w:pPr>
            <w:r w:rsidRPr="006A6EAA">
              <w:t>93%</w:t>
            </w:r>
          </w:p>
        </w:tc>
        <w:tc>
          <w:tcPr>
            <w:tcW w:w="938" w:type="dxa"/>
            <w:tcBorders>
              <w:top w:val="nil"/>
              <w:left w:val="nil"/>
              <w:bottom w:val="nil"/>
              <w:right w:val="nil"/>
            </w:tcBorders>
            <w:shd w:val="clear" w:color="auto" w:fill="auto"/>
            <w:noWrap/>
            <w:vAlign w:val="center"/>
            <w:hideMark/>
          </w:tcPr>
          <w:p w14:paraId="17FDD0D6" w14:textId="788E08ED" w:rsidR="003C66CB" w:rsidRPr="00F903DE" w:rsidRDefault="003C66CB" w:rsidP="003C66CB">
            <w:pPr>
              <w:spacing w:after="0" w:line="240" w:lineRule="auto"/>
              <w:jc w:val="right"/>
              <w:rPr>
                <w:rFonts w:eastAsia="Times New Roman" w:cs="Arial"/>
                <w:color w:val="000000"/>
                <w:lang w:eastAsia="en-GB"/>
              </w:rPr>
            </w:pPr>
            <w:r w:rsidRPr="006A6EAA">
              <w:t>91%</w:t>
            </w:r>
          </w:p>
        </w:tc>
        <w:tc>
          <w:tcPr>
            <w:tcW w:w="1188" w:type="dxa"/>
            <w:tcBorders>
              <w:top w:val="nil"/>
              <w:left w:val="nil"/>
              <w:bottom w:val="nil"/>
              <w:right w:val="nil"/>
            </w:tcBorders>
            <w:shd w:val="clear" w:color="auto" w:fill="auto"/>
            <w:noWrap/>
            <w:vAlign w:val="center"/>
            <w:hideMark/>
          </w:tcPr>
          <w:p w14:paraId="7F4164CD" w14:textId="19EF8091" w:rsidR="003C66CB" w:rsidRPr="00F903DE" w:rsidRDefault="003C66CB" w:rsidP="003C66CB">
            <w:pPr>
              <w:spacing w:after="0" w:line="240" w:lineRule="auto"/>
              <w:jc w:val="right"/>
              <w:rPr>
                <w:rFonts w:eastAsia="Times New Roman" w:cs="Arial"/>
                <w:color w:val="000000"/>
                <w:lang w:eastAsia="en-GB"/>
              </w:rPr>
            </w:pPr>
            <w:r w:rsidRPr="005A7D82">
              <w:t>40.2</w:t>
            </w:r>
          </w:p>
        </w:tc>
        <w:tc>
          <w:tcPr>
            <w:tcW w:w="1048" w:type="dxa"/>
            <w:tcBorders>
              <w:top w:val="nil"/>
              <w:left w:val="nil"/>
              <w:bottom w:val="nil"/>
              <w:right w:val="nil"/>
            </w:tcBorders>
            <w:shd w:val="clear" w:color="auto" w:fill="auto"/>
            <w:noWrap/>
            <w:vAlign w:val="center"/>
            <w:hideMark/>
          </w:tcPr>
          <w:p w14:paraId="0AC4FC1F" w14:textId="407FCAD5" w:rsidR="003C66CB" w:rsidRPr="00F903DE" w:rsidRDefault="003C66CB" w:rsidP="003C66CB">
            <w:pPr>
              <w:spacing w:after="0" w:line="240" w:lineRule="auto"/>
              <w:jc w:val="right"/>
              <w:rPr>
                <w:rFonts w:eastAsia="Times New Roman" w:cs="Arial"/>
                <w:color w:val="000000"/>
                <w:lang w:eastAsia="en-GB"/>
              </w:rPr>
            </w:pPr>
            <w:r w:rsidRPr="005A7D82">
              <w:t>6.0</w:t>
            </w:r>
          </w:p>
        </w:tc>
        <w:tc>
          <w:tcPr>
            <w:tcW w:w="938" w:type="dxa"/>
            <w:tcBorders>
              <w:top w:val="nil"/>
              <w:left w:val="nil"/>
              <w:bottom w:val="nil"/>
              <w:right w:val="nil"/>
            </w:tcBorders>
            <w:shd w:val="clear" w:color="auto" w:fill="auto"/>
            <w:noWrap/>
            <w:vAlign w:val="center"/>
            <w:hideMark/>
          </w:tcPr>
          <w:p w14:paraId="4208D740" w14:textId="52BDB920" w:rsidR="003C66CB" w:rsidRPr="00F903DE" w:rsidRDefault="003C66CB" w:rsidP="003C66CB">
            <w:pPr>
              <w:spacing w:after="0" w:line="240" w:lineRule="auto"/>
              <w:jc w:val="right"/>
              <w:rPr>
                <w:rFonts w:eastAsia="Times New Roman" w:cs="Arial"/>
                <w:color w:val="000000"/>
                <w:lang w:eastAsia="en-GB"/>
              </w:rPr>
            </w:pPr>
            <w:r w:rsidRPr="005A7D82">
              <w:t>5.4</w:t>
            </w:r>
          </w:p>
        </w:tc>
      </w:tr>
      <w:tr w:rsidR="003C66CB" w:rsidRPr="00F903DE" w14:paraId="74997762" w14:textId="77777777" w:rsidTr="003C66CB">
        <w:trPr>
          <w:trHeight w:val="303"/>
        </w:trPr>
        <w:tc>
          <w:tcPr>
            <w:tcW w:w="2778" w:type="dxa"/>
            <w:tcBorders>
              <w:top w:val="nil"/>
              <w:left w:val="nil"/>
              <w:bottom w:val="nil"/>
              <w:right w:val="nil"/>
            </w:tcBorders>
            <w:shd w:val="clear" w:color="auto" w:fill="auto"/>
            <w:vAlign w:val="center"/>
            <w:hideMark/>
          </w:tcPr>
          <w:p w14:paraId="103039F4"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West Midlands</w:t>
            </w:r>
          </w:p>
        </w:tc>
        <w:tc>
          <w:tcPr>
            <w:tcW w:w="936" w:type="dxa"/>
            <w:tcBorders>
              <w:top w:val="nil"/>
              <w:left w:val="nil"/>
              <w:bottom w:val="nil"/>
              <w:right w:val="nil"/>
            </w:tcBorders>
            <w:shd w:val="clear" w:color="auto" w:fill="auto"/>
            <w:noWrap/>
            <w:vAlign w:val="center"/>
            <w:hideMark/>
          </w:tcPr>
          <w:p w14:paraId="252BF6CC" w14:textId="2763FE43" w:rsidR="003C66CB" w:rsidRPr="00F903DE" w:rsidRDefault="003C66CB" w:rsidP="003C66CB">
            <w:pPr>
              <w:spacing w:after="0" w:line="240" w:lineRule="auto"/>
              <w:jc w:val="right"/>
              <w:rPr>
                <w:rFonts w:eastAsia="Times New Roman" w:cs="Arial"/>
                <w:color w:val="000000"/>
                <w:lang w:eastAsia="en-GB"/>
              </w:rPr>
            </w:pPr>
            <w:r w:rsidRPr="006A6EAA">
              <w:t>93%</w:t>
            </w:r>
          </w:p>
        </w:tc>
        <w:tc>
          <w:tcPr>
            <w:tcW w:w="1048" w:type="dxa"/>
            <w:tcBorders>
              <w:top w:val="nil"/>
              <w:left w:val="nil"/>
              <w:bottom w:val="nil"/>
              <w:right w:val="nil"/>
            </w:tcBorders>
            <w:shd w:val="clear" w:color="auto" w:fill="auto"/>
            <w:noWrap/>
            <w:vAlign w:val="center"/>
            <w:hideMark/>
          </w:tcPr>
          <w:p w14:paraId="22A7A995" w14:textId="15936E72" w:rsidR="003C66CB" w:rsidRPr="00F903DE" w:rsidRDefault="003C66CB" w:rsidP="003C66CB">
            <w:pPr>
              <w:spacing w:after="0" w:line="240" w:lineRule="auto"/>
              <w:jc w:val="right"/>
              <w:rPr>
                <w:rFonts w:eastAsia="Times New Roman" w:cs="Arial"/>
                <w:color w:val="000000"/>
                <w:lang w:eastAsia="en-GB"/>
              </w:rPr>
            </w:pPr>
            <w:r w:rsidRPr="006A6EAA">
              <w:t>93%</w:t>
            </w:r>
          </w:p>
        </w:tc>
        <w:tc>
          <w:tcPr>
            <w:tcW w:w="938" w:type="dxa"/>
            <w:tcBorders>
              <w:top w:val="nil"/>
              <w:left w:val="nil"/>
              <w:bottom w:val="nil"/>
              <w:right w:val="nil"/>
            </w:tcBorders>
            <w:shd w:val="clear" w:color="auto" w:fill="auto"/>
            <w:noWrap/>
            <w:vAlign w:val="center"/>
            <w:hideMark/>
          </w:tcPr>
          <w:p w14:paraId="152178D2" w14:textId="3B0709BE" w:rsidR="003C66CB" w:rsidRPr="00F903DE" w:rsidRDefault="003C66CB" w:rsidP="003C66CB">
            <w:pPr>
              <w:spacing w:after="0" w:line="240" w:lineRule="auto"/>
              <w:jc w:val="right"/>
              <w:rPr>
                <w:rFonts w:eastAsia="Times New Roman" w:cs="Arial"/>
                <w:color w:val="000000"/>
                <w:lang w:eastAsia="en-GB"/>
              </w:rPr>
            </w:pPr>
            <w:r w:rsidRPr="006A6EAA">
              <w:t>91%</w:t>
            </w:r>
          </w:p>
        </w:tc>
        <w:tc>
          <w:tcPr>
            <w:tcW w:w="1188" w:type="dxa"/>
            <w:tcBorders>
              <w:top w:val="nil"/>
              <w:left w:val="nil"/>
              <w:bottom w:val="nil"/>
              <w:right w:val="nil"/>
            </w:tcBorders>
            <w:shd w:val="clear" w:color="auto" w:fill="auto"/>
            <w:noWrap/>
            <w:vAlign w:val="center"/>
            <w:hideMark/>
          </w:tcPr>
          <w:p w14:paraId="4024D2E7" w14:textId="2111E787" w:rsidR="003C66CB" w:rsidRPr="00F903DE" w:rsidRDefault="003C66CB" w:rsidP="003C66CB">
            <w:pPr>
              <w:spacing w:after="0" w:line="240" w:lineRule="auto"/>
              <w:jc w:val="right"/>
              <w:rPr>
                <w:rFonts w:eastAsia="Times New Roman" w:cs="Arial"/>
                <w:color w:val="000000"/>
                <w:lang w:eastAsia="en-GB"/>
              </w:rPr>
            </w:pPr>
            <w:r w:rsidRPr="005A7D82">
              <w:t>43.5</w:t>
            </w:r>
          </w:p>
        </w:tc>
        <w:tc>
          <w:tcPr>
            <w:tcW w:w="1048" w:type="dxa"/>
            <w:tcBorders>
              <w:top w:val="nil"/>
              <w:left w:val="nil"/>
              <w:bottom w:val="nil"/>
              <w:right w:val="nil"/>
            </w:tcBorders>
            <w:shd w:val="clear" w:color="auto" w:fill="auto"/>
            <w:noWrap/>
            <w:vAlign w:val="center"/>
            <w:hideMark/>
          </w:tcPr>
          <w:p w14:paraId="5FBBADC0" w14:textId="65C19E69" w:rsidR="003C66CB" w:rsidRPr="00F903DE" w:rsidRDefault="003C66CB" w:rsidP="003C66CB">
            <w:pPr>
              <w:spacing w:after="0" w:line="240" w:lineRule="auto"/>
              <w:jc w:val="right"/>
              <w:rPr>
                <w:rFonts w:eastAsia="Times New Roman" w:cs="Arial"/>
                <w:color w:val="000000"/>
                <w:lang w:eastAsia="en-GB"/>
              </w:rPr>
            </w:pPr>
            <w:r w:rsidRPr="005A7D82">
              <w:t>6.3</w:t>
            </w:r>
          </w:p>
        </w:tc>
        <w:tc>
          <w:tcPr>
            <w:tcW w:w="938" w:type="dxa"/>
            <w:tcBorders>
              <w:top w:val="nil"/>
              <w:left w:val="nil"/>
              <w:bottom w:val="nil"/>
              <w:right w:val="nil"/>
            </w:tcBorders>
            <w:shd w:val="clear" w:color="auto" w:fill="auto"/>
            <w:noWrap/>
            <w:vAlign w:val="center"/>
            <w:hideMark/>
          </w:tcPr>
          <w:p w14:paraId="3E0583AE" w14:textId="6F2398C3" w:rsidR="003C66CB" w:rsidRPr="00F903DE" w:rsidRDefault="003C66CB" w:rsidP="003C66CB">
            <w:pPr>
              <w:spacing w:after="0" w:line="240" w:lineRule="auto"/>
              <w:jc w:val="right"/>
              <w:rPr>
                <w:rFonts w:eastAsia="Times New Roman" w:cs="Arial"/>
                <w:color w:val="000000"/>
                <w:lang w:eastAsia="en-GB"/>
              </w:rPr>
            </w:pPr>
            <w:r w:rsidRPr="005A7D82">
              <w:t>6.6</w:t>
            </w:r>
          </w:p>
        </w:tc>
      </w:tr>
      <w:tr w:rsidR="003C66CB" w:rsidRPr="00F903DE" w14:paraId="2B47D4EC" w14:textId="77777777" w:rsidTr="003C66CB">
        <w:trPr>
          <w:trHeight w:val="303"/>
        </w:trPr>
        <w:tc>
          <w:tcPr>
            <w:tcW w:w="2778" w:type="dxa"/>
            <w:tcBorders>
              <w:top w:val="nil"/>
              <w:left w:val="nil"/>
              <w:bottom w:val="nil"/>
              <w:right w:val="nil"/>
            </w:tcBorders>
            <w:shd w:val="clear" w:color="auto" w:fill="auto"/>
            <w:vAlign w:val="center"/>
            <w:hideMark/>
          </w:tcPr>
          <w:p w14:paraId="3E85EE40"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South West</w:t>
            </w:r>
          </w:p>
        </w:tc>
        <w:tc>
          <w:tcPr>
            <w:tcW w:w="936" w:type="dxa"/>
            <w:tcBorders>
              <w:top w:val="nil"/>
              <w:left w:val="nil"/>
              <w:bottom w:val="nil"/>
              <w:right w:val="nil"/>
            </w:tcBorders>
            <w:shd w:val="clear" w:color="auto" w:fill="auto"/>
            <w:noWrap/>
            <w:vAlign w:val="center"/>
            <w:hideMark/>
          </w:tcPr>
          <w:p w14:paraId="3311ECA3" w14:textId="5C8D8AB2" w:rsidR="003C66CB" w:rsidRPr="00F903DE" w:rsidRDefault="003C66CB" w:rsidP="003C66CB">
            <w:pPr>
              <w:spacing w:after="0" w:line="240" w:lineRule="auto"/>
              <w:jc w:val="right"/>
              <w:rPr>
                <w:rFonts w:eastAsia="Times New Roman" w:cs="Arial"/>
                <w:color w:val="000000"/>
                <w:lang w:eastAsia="en-GB"/>
              </w:rPr>
            </w:pPr>
            <w:r w:rsidRPr="006A6EAA">
              <w:t>93%</w:t>
            </w:r>
          </w:p>
        </w:tc>
        <w:tc>
          <w:tcPr>
            <w:tcW w:w="1048" w:type="dxa"/>
            <w:tcBorders>
              <w:top w:val="nil"/>
              <w:left w:val="nil"/>
              <w:bottom w:val="nil"/>
              <w:right w:val="nil"/>
            </w:tcBorders>
            <w:shd w:val="clear" w:color="auto" w:fill="auto"/>
            <w:noWrap/>
            <w:vAlign w:val="center"/>
            <w:hideMark/>
          </w:tcPr>
          <w:p w14:paraId="51AFE575" w14:textId="7AD57B52" w:rsidR="003C66CB" w:rsidRPr="00F903DE" w:rsidRDefault="003C66CB" w:rsidP="003C66CB">
            <w:pPr>
              <w:spacing w:after="0" w:line="240" w:lineRule="auto"/>
              <w:jc w:val="right"/>
              <w:rPr>
                <w:rFonts w:eastAsia="Times New Roman" w:cs="Arial"/>
                <w:color w:val="000000"/>
                <w:lang w:eastAsia="en-GB"/>
              </w:rPr>
            </w:pPr>
            <w:r w:rsidRPr="006A6EAA">
              <w:t>93%</w:t>
            </w:r>
          </w:p>
        </w:tc>
        <w:tc>
          <w:tcPr>
            <w:tcW w:w="938" w:type="dxa"/>
            <w:tcBorders>
              <w:top w:val="nil"/>
              <w:left w:val="nil"/>
              <w:bottom w:val="nil"/>
              <w:right w:val="nil"/>
            </w:tcBorders>
            <w:shd w:val="clear" w:color="auto" w:fill="auto"/>
            <w:noWrap/>
            <w:vAlign w:val="center"/>
            <w:hideMark/>
          </w:tcPr>
          <w:p w14:paraId="640294D7" w14:textId="037A5E7E" w:rsidR="003C66CB" w:rsidRPr="00F903DE" w:rsidRDefault="003C66CB" w:rsidP="003C66CB">
            <w:pPr>
              <w:spacing w:after="0" w:line="240" w:lineRule="auto"/>
              <w:jc w:val="right"/>
              <w:rPr>
                <w:rFonts w:eastAsia="Times New Roman" w:cs="Arial"/>
                <w:color w:val="000000"/>
                <w:lang w:eastAsia="en-GB"/>
              </w:rPr>
            </w:pPr>
            <w:r w:rsidRPr="006A6EAA">
              <w:t>92%</w:t>
            </w:r>
          </w:p>
        </w:tc>
        <w:tc>
          <w:tcPr>
            <w:tcW w:w="1188" w:type="dxa"/>
            <w:tcBorders>
              <w:top w:val="nil"/>
              <w:left w:val="nil"/>
              <w:bottom w:val="nil"/>
              <w:right w:val="nil"/>
            </w:tcBorders>
            <w:shd w:val="clear" w:color="auto" w:fill="auto"/>
            <w:noWrap/>
            <w:vAlign w:val="center"/>
            <w:hideMark/>
          </w:tcPr>
          <w:p w14:paraId="5214E60E" w14:textId="2F6A4BBA" w:rsidR="003C66CB" w:rsidRPr="00F903DE" w:rsidRDefault="003C66CB" w:rsidP="003C66CB">
            <w:pPr>
              <w:spacing w:after="0" w:line="240" w:lineRule="auto"/>
              <w:jc w:val="right"/>
              <w:rPr>
                <w:rFonts w:eastAsia="Times New Roman" w:cs="Arial"/>
                <w:color w:val="000000"/>
                <w:lang w:eastAsia="en-GB"/>
              </w:rPr>
            </w:pPr>
            <w:r w:rsidRPr="005A7D82">
              <w:t>44.4</w:t>
            </w:r>
          </w:p>
        </w:tc>
        <w:tc>
          <w:tcPr>
            <w:tcW w:w="1048" w:type="dxa"/>
            <w:tcBorders>
              <w:top w:val="nil"/>
              <w:left w:val="nil"/>
              <w:bottom w:val="nil"/>
              <w:right w:val="nil"/>
            </w:tcBorders>
            <w:shd w:val="clear" w:color="auto" w:fill="auto"/>
            <w:noWrap/>
            <w:vAlign w:val="center"/>
            <w:hideMark/>
          </w:tcPr>
          <w:p w14:paraId="06CA7AC9" w14:textId="2D0687C2" w:rsidR="003C66CB" w:rsidRPr="00F903DE" w:rsidRDefault="003C66CB" w:rsidP="003C66CB">
            <w:pPr>
              <w:spacing w:after="0" w:line="240" w:lineRule="auto"/>
              <w:jc w:val="right"/>
              <w:rPr>
                <w:rFonts w:eastAsia="Times New Roman" w:cs="Arial"/>
                <w:color w:val="000000"/>
                <w:lang w:eastAsia="en-GB"/>
              </w:rPr>
            </w:pPr>
            <w:r w:rsidRPr="005A7D82">
              <w:t>5.0</w:t>
            </w:r>
          </w:p>
        </w:tc>
        <w:tc>
          <w:tcPr>
            <w:tcW w:w="938" w:type="dxa"/>
            <w:tcBorders>
              <w:top w:val="nil"/>
              <w:left w:val="nil"/>
              <w:bottom w:val="nil"/>
              <w:right w:val="nil"/>
            </w:tcBorders>
            <w:shd w:val="clear" w:color="auto" w:fill="auto"/>
            <w:noWrap/>
            <w:vAlign w:val="center"/>
            <w:hideMark/>
          </w:tcPr>
          <w:p w14:paraId="20D52060" w14:textId="14D96A9D" w:rsidR="003C66CB" w:rsidRPr="00F903DE" w:rsidRDefault="003C66CB" w:rsidP="003C66CB">
            <w:pPr>
              <w:spacing w:after="0" w:line="240" w:lineRule="auto"/>
              <w:jc w:val="right"/>
              <w:rPr>
                <w:rFonts w:eastAsia="Times New Roman" w:cs="Arial"/>
                <w:color w:val="000000"/>
                <w:lang w:eastAsia="en-GB"/>
              </w:rPr>
            </w:pPr>
            <w:r w:rsidRPr="005A7D82">
              <w:t>2.6</w:t>
            </w:r>
          </w:p>
        </w:tc>
      </w:tr>
      <w:tr w:rsidR="003C66CB" w:rsidRPr="00F903DE" w14:paraId="0FBEE373" w14:textId="77777777" w:rsidTr="003C66CB">
        <w:trPr>
          <w:trHeight w:val="303"/>
        </w:trPr>
        <w:tc>
          <w:tcPr>
            <w:tcW w:w="2778" w:type="dxa"/>
            <w:tcBorders>
              <w:top w:val="nil"/>
              <w:left w:val="nil"/>
              <w:bottom w:val="nil"/>
              <w:right w:val="nil"/>
            </w:tcBorders>
            <w:shd w:val="clear" w:color="auto" w:fill="auto"/>
            <w:vAlign w:val="center"/>
            <w:hideMark/>
          </w:tcPr>
          <w:p w14:paraId="7DC03799"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South East</w:t>
            </w:r>
          </w:p>
        </w:tc>
        <w:tc>
          <w:tcPr>
            <w:tcW w:w="936" w:type="dxa"/>
            <w:tcBorders>
              <w:top w:val="nil"/>
              <w:left w:val="nil"/>
              <w:bottom w:val="nil"/>
              <w:right w:val="nil"/>
            </w:tcBorders>
            <w:shd w:val="clear" w:color="auto" w:fill="auto"/>
            <w:noWrap/>
            <w:vAlign w:val="center"/>
            <w:hideMark/>
          </w:tcPr>
          <w:p w14:paraId="5221EEED" w14:textId="5CD37924" w:rsidR="003C66CB" w:rsidRPr="00F903DE" w:rsidRDefault="003C66CB" w:rsidP="003C66CB">
            <w:pPr>
              <w:spacing w:after="0" w:line="240" w:lineRule="auto"/>
              <w:jc w:val="right"/>
              <w:rPr>
                <w:rFonts w:eastAsia="Times New Roman" w:cs="Arial"/>
                <w:color w:val="000000"/>
                <w:lang w:eastAsia="en-GB"/>
              </w:rPr>
            </w:pPr>
            <w:r w:rsidRPr="006A6EAA">
              <w:t>92%</w:t>
            </w:r>
          </w:p>
        </w:tc>
        <w:tc>
          <w:tcPr>
            <w:tcW w:w="1048" w:type="dxa"/>
            <w:tcBorders>
              <w:top w:val="nil"/>
              <w:left w:val="nil"/>
              <w:bottom w:val="nil"/>
              <w:right w:val="nil"/>
            </w:tcBorders>
            <w:shd w:val="clear" w:color="auto" w:fill="auto"/>
            <w:noWrap/>
            <w:vAlign w:val="center"/>
            <w:hideMark/>
          </w:tcPr>
          <w:p w14:paraId="7AD7EE29" w14:textId="71D0741B" w:rsidR="003C66CB" w:rsidRPr="00F903DE" w:rsidRDefault="003C66CB" w:rsidP="003C66CB">
            <w:pPr>
              <w:spacing w:after="0" w:line="240" w:lineRule="auto"/>
              <w:jc w:val="right"/>
              <w:rPr>
                <w:rFonts w:eastAsia="Times New Roman" w:cs="Arial"/>
                <w:color w:val="000000"/>
                <w:lang w:eastAsia="en-GB"/>
              </w:rPr>
            </w:pPr>
            <w:r w:rsidRPr="006A6EAA">
              <w:t>92%</w:t>
            </w:r>
          </w:p>
        </w:tc>
        <w:tc>
          <w:tcPr>
            <w:tcW w:w="938" w:type="dxa"/>
            <w:tcBorders>
              <w:top w:val="nil"/>
              <w:left w:val="nil"/>
              <w:bottom w:val="nil"/>
              <w:right w:val="nil"/>
            </w:tcBorders>
            <w:shd w:val="clear" w:color="auto" w:fill="auto"/>
            <w:noWrap/>
            <w:vAlign w:val="center"/>
            <w:hideMark/>
          </w:tcPr>
          <w:p w14:paraId="48D88298" w14:textId="45198310" w:rsidR="003C66CB" w:rsidRPr="00F903DE" w:rsidRDefault="003C66CB" w:rsidP="003C66CB">
            <w:pPr>
              <w:spacing w:after="0" w:line="240" w:lineRule="auto"/>
              <w:jc w:val="right"/>
              <w:rPr>
                <w:rFonts w:eastAsia="Times New Roman" w:cs="Arial"/>
                <w:color w:val="000000"/>
                <w:lang w:eastAsia="en-GB"/>
              </w:rPr>
            </w:pPr>
            <w:r w:rsidRPr="006A6EAA">
              <w:t>90%</w:t>
            </w:r>
          </w:p>
        </w:tc>
        <w:tc>
          <w:tcPr>
            <w:tcW w:w="1188" w:type="dxa"/>
            <w:tcBorders>
              <w:top w:val="nil"/>
              <w:left w:val="nil"/>
              <w:bottom w:val="nil"/>
              <w:right w:val="nil"/>
            </w:tcBorders>
            <w:shd w:val="clear" w:color="auto" w:fill="auto"/>
            <w:noWrap/>
            <w:vAlign w:val="center"/>
            <w:hideMark/>
          </w:tcPr>
          <w:p w14:paraId="3516EA0B" w14:textId="4FECFE7C" w:rsidR="003C66CB" w:rsidRPr="00F903DE" w:rsidRDefault="003C66CB" w:rsidP="003C66CB">
            <w:pPr>
              <w:spacing w:after="0" w:line="240" w:lineRule="auto"/>
              <w:jc w:val="right"/>
              <w:rPr>
                <w:rFonts w:eastAsia="Times New Roman" w:cs="Arial"/>
                <w:color w:val="000000"/>
                <w:lang w:eastAsia="en-GB"/>
              </w:rPr>
            </w:pPr>
            <w:r w:rsidRPr="005A7D82">
              <w:t>72.0</w:t>
            </w:r>
          </w:p>
        </w:tc>
        <w:tc>
          <w:tcPr>
            <w:tcW w:w="1048" w:type="dxa"/>
            <w:tcBorders>
              <w:top w:val="nil"/>
              <w:left w:val="nil"/>
              <w:bottom w:val="nil"/>
              <w:right w:val="nil"/>
            </w:tcBorders>
            <w:shd w:val="clear" w:color="auto" w:fill="auto"/>
            <w:noWrap/>
            <w:vAlign w:val="center"/>
            <w:hideMark/>
          </w:tcPr>
          <w:p w14:paraId="4B1D8641" w14:textId="5C812360" w:rsidR="003C66CB" w:rsidRPr="00F903DE" w:rsidRDefault="003C66CB" w:rsidP="003C66CB">
            <w:pPr>
              <w:spacing w:after="0" w:line="240" w:lineRule="auto"/>
              <w:jc w:val="right"/>
              <w:rPr>
                <w:rFonts w:eastAsia="Times New Roman" w:cs="Arial"/>
                <w:color w:val="000000"/>
                <w:lang w:eastAsia="en-GB"/>
              </w:rPr>
            </w:pPr>
            <w:r w:rsidRPr="005A7D82">
              <w:t>7.8</w:t>
            </w:r>
          </w:p>
        </w:tc>
        <w:tc>
          <w:tcPr>
            <w:tcW w:w="938" w:type="dxa"/>
            <w:tcBorders>
              <w:top w:val="nil"/>
              <w:left w:val="nil"/>
              <w:bottom w:val="nil"/>
              <w:right w:val="nil"/>
            </w:tcBorders>
            <w:shd w:val="clear" w:color="auto" w:fill="auto"/>
            <w:noWrap/>
            <w:vAlign w:val="center"/>
            <w:hideMark/>
          </w:tcPr>
          <w:p w14:paraId="46B458C9" w14:textId="14A93FB9" w:rsidR="003C66CB" w:rsidRPr="00F903DE" w:rsidRDefault="003C66CB" w:rsidP="003C66CB">
            <w:pPr>
              <w:spacing w:after="0" w:line="240" w:lineRule="auto"/>
              <w:jc w:val="right"/>
              <w:rPr>
                <w:rFonts w:eastAsia="Times New Roman" w:cs="Arial"/>
                <w:color w:val="000000"/>
                <w:lang w:eastAsia="en-GB"/>
              </w:rPr>
            </w:pPr>
            <w:r w:rsidRPr="005A7D82">
              <w:t>3.7</w:t>
            </w:r>
          </w:p>
        </w:tc>
      </w:tr>
      <w:tr w:rsidR="003C66CB" w:rsidRPr="00F903DE" w14:paraId="47E130F9" w14:textId="77777777" w:rsidTr="003C66CB">
        <w:trPr>
          <w:trHeight w:val="303"/>
        </w:trPr>
        <w:tc>
          <w:tcPr>
            <w:tcW w:w="2778" w:type="dxa"/>
            <w:tcBorders>
              <w:top w:val="nil"/>
              <w:left w:val="nil"/>
              <w:bottom w:val="nil"/>
              <w:right w:val="nil"/>
            </w:tcBorders>
            <w:shd w:val="clear" w:color="auto" w:fill="auto"/>
            <w:vAlign w:val="center"/>
            <w:hideMark/>
          </w:tcPr>
          <w:p w14:paraId="292870BF"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East</w:t>
            </w:r>
          </w:p>
        </w:tc>
        <w:tc>
          <w:tcPr>
            <w:tcW w:w="936" w:type="dxa"/>
            <w:tcBorders>
              <w:top w:val="nil"/>
              <w:left w:val="nil"/>
              <w:bottom w:val="nil"/>
              <w:right w:val="nil"/>
            </w:tcBorders>
            <w:shd w:val="clear" w:color="auto" w:fill="auto"/>
            <w:noWrap/>
            <w:vAlign w:val="center"/>
            <w:hideMark/>
          </w:tcPr>
          <w:p w14:paraId="0F7A0B2F" w14:textId="06B47740" w:rsidR="003C66CB" w:rsidRPr="00F903DE" w:rsidRDefault="003C66CB" w:rsidP="003C66CB">
            <w:pPr>
              <w:spacing w:after="0" w:line="240" w:lineRule="auto"/>
              <w:jc w:val="right"/>
              <w:rPr>
                <w:rFonts w:eastAsia="Times New Roman" w:cs="Arial"/>
                <w:color w:val="000000"/>
                <w:lang w:eastAsia="en-GB"/>
              </w:rPr>
            </w:pPr>
            <w:r w:rsidRPr="006A6EAA">
              <w:t>92%</w:t>
            </w:r>
          </w:p>
        </w:tc>
        <w:tc>
          <w:tcPr>
            <w:tcW w:w="1048" w:type="dxa"/>
            <w:tcBorders>
              <w:top w:val="nil"/>
              <w:left w:val="nil"/>
              <w:bottom w:val="nil"/>
              <w:right w:val="nil"/>
            </w:tcBorders>
            <w:shd w:val="clear" w:color="auto" w:fill="auto"/>
            <w:noWrap/>
            <w:vAlign w:val="center"/>
            <w:hideMark/>
          </w:tcPr>
          <w:p w14:paraId="580BBB9A" w14:textId="084E9351" w:rsidR="003C66CB" w:rsidRPr="00F903DE" w:rsidRDefault="003C66CB" w:rsidP="003C66CB">
            <w:pPr>
              <w:spacing w:after="0" w:line="240" w:lineRule="auto"/>
              <w:jc w:val="right"/>
              <w:rPr>
                <w:rFonts w:eastAsia="Times New Roman" w:cs="Arial"/>
                <w:color w:val="000000"/>
                <w:lang w:eastAsia="en-GB"/>
              </w:rPr>
            </w:pPr>
            <w:r w:rsidRPr="006A6EAA">
              <w:t>92%</w:t>
            </w:r>
          </w:p>
        </w:tc>
        <w:tc>
          <w:tcPr>
            <w:tcW w:w="938" w:type="dxa"/>
            <w:tcBorders>
              <w:top w:val="nil"/>
              <w:left w:val="nil"/>
              <w:bottom w:val="nil"/>
              <w:right w:val="nil"/>
            </w:tcBorders>
            <w:shd w:val="clear" w:color="auto" w:fill="auto"/>
            <w:noWrap/>
            <w:vAlign w:val="center"/>
            <w:hideMark/>
          </w:tcPr>
          <w:p w14:paraId="5528DF42" w14:textId="5928CD77" w:rsidR="003C66CB" w:rsidRPr="00F903DE" w:rsidRDefault="003C66CB" w:rsidP="003C66CB">
            <w:pPr>
              <w:spacing w:after="0" w:line="240" w:lineRule="auto"/>
              <w:jc w:val="right"/>
              <w:rPr>
                <w:rFonts w:eastAsia="Times New Roman" w:cs="Arial"/>
                <w:color w:val="000000"/>
                <w:lang w:eastAsia="en-GB"/>
              </w:rPr>
            </w:pPr>
            <w:r w:rsidRPr="006A6EAA">
              <w:t>90%</w:t>
            </w:r>
          </w:p>
        </w:tc>
        <w:tc>
          <w:tcPr>
            <w:tcW w:w="1188" w:type="dxa"/>
            <w:tcBorders>
              <w:top w:val="nil"/>
              <w:left w:val="nil"/>
              <w:bottom w:val="nil"/>
              <w:right w:val="nil"/>
            </w:tcBorders>
            <w:shd w:val="clear" w:color="auto" w:fill="auto"/>
            <w:noWrap/>
            <w:vAlign w:val="center"/>
            <w:hideMark/>
          </w:tcPr>
          <w:p w14:paraId="1C09B86D" w14:textId="29011EB1" w:rsidR="003C66CB" w:rsidRPr="00F903DE" w:rsidRDefault="003C66CB" w:rsidP="003C66CB">
            <w:pPr>
              <w:spacing w:after="0" w:line="240" w:lineRule="auto"/>
              <w:jc w:val="right"/>
              <w:rPr>
                <w:rFonts w:eastAsia="Times New Roman" w:cs="Arial"/>
                <w:color w:val="000000"/>
                <w:lang w:eastAsia="en-GB"/>
              </w:rPr>
            </w:pPr>
            <w:r w:rsidRPr="005A7D82">
              <w:t>50.5</w:t>
            </w:r>
          </w:p>
        </w:tc>
        <w:tc>
          <w:tcPr>
            <w:tcW w:w="1048" w:type="dxa"/>
            <w:tcBorders>
              <w:top w:val="nil"/>
              <w:left w:val="nil"/>
              <w:bottom w:val="nil"/>
              <w:right w:val="nil"/>
            </w:tcBorders>
            <w:shd w:val="clear" w:color="auto" w:fill="auto"/>
            <w:noWrap/>
            <w:vAlign w:val="center"/>
            <w:hideMark/>
          </w:tcPr>
          <w:p w14:paraId="3BF4F215" w14:textId="365EF37E" w:rsidR="003C66CB" w:rsidRPr="00F903DE" w:rsidRDefault="003C66CB" w:rsidP="003C66CB">
            <w:pPr>
              <w:spacing w:after="0" w:line="240" w:lineRule="auto"/>
              <w:jc w:val="right"/>
              <w:rPr>
                <w:rFonts w:eastAsia="Times New Roman" w:cs="Arial"/>
                <w:color w:val="000000"/>
                <w:lang w:eastAsia="en-GB"/>
              </w:rPr>
            </w:pPr>
            <w:r w:rsidRPr="005A7D82">
              <w:t>5.9</w:t>
            </w:r>
          </w:p>
        </w:tc>
        <w:tc>
          <w:tcPr>
            <w:tcW w:w="938" w:type="dxa"/>
            <w:tcBorders>
              <w:top w:val="nil"/>
              <w:left w:val="nil"/>
              <w:bottom w:val="nil"/>
              <w:right w:val="nil"/>
            </w:tcBorders>
            <w:shd w:val="clear" w:color="auto" w:fill="auto"/>
            <w:noWrap/>
            <w:vAlign w:val="center"/>
            <w:hideMark/>
          </w:tcPr>
          <w:p w14:paraId="3EF7EA38" w14:textId="43BA0330" w:rsidR="003C66CB" w:rsidRPr="00F903DE" w:rsidRDefault="003C66CB" w:rsidP="003C66CB">
            <w:pPr>
              <w:spacing w:after="0" w:line="240" w:lineRule="auto"/>
              <w:jc w:val="right"/>
              <w:rPr>
                <w:rFonts w:eastAsia="Times New Roman" w:cs="Arial"/>
                <w:color w:val="000000"/>
                <w:lang w:eastAsia="en-GB"/>
              </w:rPr>
            </w:pPr>
            <w:r w:rsidRPr="005A7D82">
              <w:t>3.0</w:t>
            </w:r>
          </w:p>
        </w:tc>
      </w:tr>
      <w:tr w:rsidR="003C66CB" w:rsidRPr="00F903DE" w14:paraId="672C4843" w14:textId="77777777" w:rsidTr="003C66CB">
        <w:trPr>
          <w:trHeight w:val="303"/>
        </w:trPr>
        <w:tc>
          <w:tcPr>
            <w:tcW w:w="2778" w:type="dxa"/>
            <w:tcBorders>
              <w:top w:val="nil"/>
              <w:left w:val="nil"/>
              <w:bottom w:val="nil"/>
              <w:right w:val="nil"/>
            </w:tcBorders>
            <w:shd w:val="clear" w:color="auto" w:fill="auto"/>
            <w:vAlign w:val="center"/>
            <w:hideMark/>
          </w:tcPr>
          <w:p w14:paraId="25209700" w14:textId="77777777" w:rsidR="003C66CB" w:rsidRPr="00F903DE" w:rsidRDefault="003C66CB" w:rsidP="003C66CB">
            <w:pPr>
              <w:spacing w:after="0" w:line="240" w:lineRule="auto"/>
              <w:rPr>
                <w:rFonts w:eastAsia="Times New Roman" w:cs="Arial"/>
                <w:color w:val="000000"/>
                <w:lang w:eastAsia="en-GB"/>
              </w:rPr>
            </w:pPr>
            <w:r w:rsidRPr="00F903DE">
              <w:rPr>
                <w:rFonts w:eastAsia="Times New Roman" w:cs="Arial"/>
                <w:color w:val="000000"/>
                <w:lang w:eastAsia="en-GB"/>
              </w:rPr>
              <w:t>London</w:t>
            </w:r>
          </w:p>
        </w:tc>
        <w:tc>
          <w:tcPr>
            <w:tcW w:w="936" w:type="dxa"/>
            <w:tcBorders>
              <w:top w:val="nil"/>
              <w:left w:val="nil"/>
              <w:bottom w:val="nil"/>
              <w:right w:val="nil"/>
            </w:tcBorders>
            <w:shd w:val="clear" w:color="auto" w:fill="auto"/>
            <w:noWrap/>
            <w:vAlign w:val="center"/>
            <w:hideMark/>
          </w:tcPr>
          <w:p w14:paraId="6E4DACF8" w14:textId="1AE0DA8D" w:rsidR="003C66CB" w:rsidRPr="00F903DE" w:rsidRDefault="003C66CB" w:rsidP="003C66CB">
            <w:pPr>
              <w:spacing w:after="0" w:line="240" w:lineRule="auto"/>
              <w:jc w:val="right"/>
              <w:rPr>
                <w:rFonts w:eastAsia="Times New Roman" w:cs="Arial"/>
                <w:color w:val="000000"/>
                <w:lang w:eastAsia="en-GB"/>
              </w:rPr>
            </w:pPr>
            <w:r w:rsidRPr="006A6EAA">
              <w:t>90%</w:t>
            </w:r>
          </w:p>
        </w:tc>
        <w:tc>
          <w:tcPr>
            <w:tcW w:w="1048" w:type="dxa"/>
            <w:tcBorders>
              <w:top w:val="nil"/>
              <w:left w:val="nil"/>
              <w:bottom w:val="nil"/>
              <w:right w:val="nil"/>
            </w:tcBorders>
            <w:shd w:val="clear" w:color="auto" w:fill="auto"/>
            <w:noWrap/>
            <w:vAlign w:val="center"/>
            <w:hideMark/>
          </w:tcPr>
          <w:p w14:paraId="34F19B5C" w14:textId="41A561D0" w:rsidR="003C66CB" w:rsidRPr="00F903DE" w:rsidRDefault="003C66CB" w:rsidP="003C66CB">
            <w:pPr>
              <w:spacing w:after="0" w:line="240" w:lineRule="auto"/>
              <w:jc w:val="right"/>
              <w:rPr>
                <w:rFonts w:eastAsia="Times New Roman" w:cs="Arial"/>
                <w:color w:val="000000"/>
                <w:lang w:eastAsia="en-GB"/>
              </w:rPr>
            </w:pPr>
            <w:r w:rsidRPr="006A6EAA">
              <w:t>92%</w:t>
            </w:r>
          </w:p>
        </w:tc>
        <w:tc>
          <w:tcPr>
            <w:tcW w:w="938" w:type="dxa"/>
            <w:tcBorders>
              <w:top w:val="nil"/>
              <w:left w:val="nil"/>
              <w:bottom w:val="nil"/>
              <w:right w:val="nil"/>
            </w:tcBorders>
            <w:shd w:val="clear" w:color="auto" w:fill="auto"/>
            <w:noWrap/>
            <w:vAlign w:val="center"/>
            <w:hideMark/>
          </w:tcPr>
          <w:p w14:paraId="33E1D63D" w14:textId="0781A1BF" w:rsidR="003C66CB" w:rsidRPr="00F903DE" w:rsidRDefault="003C66CB" w:rsidP="003C66CB">
            <w:pPr>
              <w:spacing w:after="0" w:line="240" w:lineRule="auto"/>
              <w:jc w:val="right"/>
              <w:rPr>
                <w:rFonts w:eastAsia="Times New Roman" w:cs="Arial"/>
                <w:color w:val="000000"/>
                <w:lang w:eastAsia="en-GB"/>
              </w:rPr>
            </w:pPr>
            <w:r w:rsidRPr="006A6EAA">
              <w:t>90%</w:t>
            </w:r>
          </w:p>
        </w:tc>
        <w:tc>
          <w:tcPr>
            <w:tcW w:w="1188" w:type="dxa"/>
            <w:tcBorders>
              <w:top w:val="nil"/>
              <w:left w:val="nil"/>
              <w:bottom w:val="nil"/>
              <w:right w:val="nil"/>
            </w:tcBorders>
            <w:shd w:val="clear" w:color="auto" w:fill="auto"/>
            <w:noWrap/>
            <w:vAlign w:val="center"/>
            <w:hideMark/>
          </w:tcPr>
          <w:p w14:paraId="79E4B660" w14:textId="29DA48BE" w:rsidR="003C66CB" w:rsidRPr="00F903DE" w:rsidRDefault="003C66CB" w:rsidP="003C66CB">
            <w:pPr>
              <w:spacing w:after="0" w:line="240" w:lineRule="auto"/>
              <w:jc w:val="right"/>
              <w:rPr>
                <w:rFonts w:eastAsia="Times New Roman" w:cs="Arial"/>
                <w:color w:val="000000"/>
                <w:lang w:eastAsia="en-GB"/>
              </w:rPr>
            </w:pPr>
            <w:r w:rsidRPr="005A7D82">
              <w:t>45.3</w:t>
            </w:r>
          </w:p>
        </w:tc>
        <w:tc>
          <w:tcPr>
            <w:tcW w:w="1048" w:type="dxa"/>
            <w:tcBorders>
              <w:top w:val="nil"/>
              <w:left w:val="nil"/>
              <w:bottom w:val="nil"/>
              <w:right w:val="nil"/>
            </w:tcBorders>
            <w:shd w:val="clear" w:color="auto" w:fill="auto"/>
            <w:noWrap/>
            <w:vAlign w:val="center"/>
            <w:hideMark/>
          </w:tcPr>
          <w:p w14:paraId="5635875F" w14:textId="5377A988" w:rsidR="003C66CB" w:rsidRPr="00F903DE" w:rsidRDefault="003C66CB" w:rsidP="003C66CB">
            <w:pPr>
              <w:spacing w:after="0" w:line="240" w:lineRule="auto"/>
              <w:jc w:val="right"/>
              <w:rPr>
                <w:rFonts w:eastAsia="Times New Roman" w:cs="Arial"/>
                <w:color w:val="000000"/>
                <w:lang w:eastAsia="en-GB"/>
              </w:rPr>
            </w:pPr>
            <w:r w:rsidRPr="005A7D82">
              <w:t>7.9</w:t>
            </w:r>
          </w:p>
        </w:tc>
        <w:tc>
          <w:tcPr>
            <w:tcW w:w="938" w:type="dxa"/>
            <w:tcBorders>
              <w:top w:val="nil"/>
              <w:left w:val="nil"/>
              <w:bottom w:val="nil"/>
              <w:right w:val="nil"/>
            </w:tcBorders>
            <w:shd w:val="clear" w:color="auto" w:fill="auto"/>
            <w:noWrap/>
            <w:vAlign w:val="center"/>
            <w:hideMark/>
          </w:tcPr>
          <w:p w14:paraId="5E972326" w14:textId="5BD46BDE" w:rsidR="003C66CB" w:rsidRPr="00F903DE" w:rsidRDefault="003C66CB" w:rsidP="003C66CB">
            <w:pPr>
              <w:spacing w:after="0" w:line="240" w:lineRule="auto"/>
              <w:jc w:val="right"/>
              <w:rPr>
                <w:rFonts w:eastAsia="Times New Roman" w:cs="Arial"/>
                <w:color w:val="000000"/>
                <w:lang w:eastAsia="en-GB"/>
              </w:rPr>
            </w:pPr>
            <w:r w:rsidRPr="005A7D82">
              <w:t>12.5</w:t>
            </w:r>
          </w:p>
        </w:tc>
      </w:tr>
    </w:tbl>
    <w:p w14:paraId="006D48C1" w14:textId="66314037" w:rsidR="009A7B74" w:rsidRDefault="009A7B74" w:rsidP="001C64CB"/>
    <w:p w14:paraId="0A795FB1" w14:textId="6D58B761" w:rsidR="00882925" w:rsidRDefault="00882925" w:rsidP="001C64CB"/>
    <w:p w14:paraId="7F7FF946" w14:textId="6B8AE824" w:rsidR="00882925" w:rsidRDefault="00882925" w:rsidP="001C64CB"/>
    <w:p w14:paraId="4AF894B4" w14:textId="3D6D9F53" w:rsidR="00882925" w:rsidRDefault="00882925" w:rsidP="001C64CB"/>
    <w:p w14:paraId="3185F624" w14:textId="77777777" w:rsidR="00882925" w:rsidRDefault="00882925" w:rsidP="001C64CB"/>
    <w:p w14:paraId="44E999B8" w14:textId="4E16A434" w:rsidR="004851C1" w:rsidRDefault="00346ED9" w:rsidP="004851C1">
      <w:pPr>
        <w:pStyle w:val="Heading2"/>
      </w:pPr>
      <w:r>
        <w:lastRenderedPageBreak/>
        <w:t>3</w:t>
      </w:r>
      <w:r w:rsidR="00492796">
        <w:t xml:space="preserve">. </w:t>
      </w:r>
      <w:r w:rsidR="004851C1" w:rsidRPr="00AF4302">
        <w:t>Results</w:t>
      </w:r>
    </w:p>
    <w:p w14:paraId="5C90ECF6" w14:textId="3A3DE50B" w:rsidR="00E9238D" w:rsidRDefault="00346ED9" w:rsidP="00E9238D">
      <w:pPr>
        <w:pStyle w:val="Heading3"/>
      </w:pPr>
      <w:r>
        <w:t>3</w:t>
      </w:r>
      <w:r w:rsidR="00492796">
        <w:t xml:space="preserve">.1. </w:t>
      </w:r>
      <w:r w:rsidR="00E9238D">
        <w:t>Context</w:t>
      </w:r>
    </w:p>
    <w:p w14:paraId="11BE5FB1" w14:textId="1A4393B9" w:rsidR="00E9238D" w:rsidRDefault="00492796" w:rsidP="00492796">
      <w:pPr>
        <w:pStyle w:val="Heading4"/>
      </w:pPr>
      <w:r>
        <w:t>Distribution of disadvantage</w:t>
      </w:r>
    </w:p>
    <w:p w14:paraId="4685EE27" w14:textId="49586697" w:rsidR="00492796" w:rsidRDefault="000D4A1D" w:rsidP="00492796">
      <w:r>
        <w:fldChar w:fldCharType="begin"/>
      </w:r>
      <w:r>
        <w:instrText xml:space="preserve"> REF _Ref112345507 \h </w:instrText>
      </w:r>
      <w:r>
        <w:fldChar w:fldCharType="separate"/>
      </w:r>
      <w:r w:rsidR="00882925">
        <w:t xml:space="preserve">Table </w:t>
      </w:r>
      <w:r w:rsidR="00882925">
        <w:rPr>
          <w:noProof/>
        </w:rPr>
        <w:t>4</w:t>
      </w:r>
      <w:r>
        <w:fldChar w:fldCharType="end"/>
      </w:r>
      <w:r w:rsidR="00A3183D">
        <w:t xml:space="preserve"> summarise</w:t>
      </w:r>
      <w:r>
        <w:t>s</w:t>
      </w:r>
      <w:r w:rsidR="00A3183D">
        <w:t xml:space="preserve"> the number of pupils in the three Key Stage 4 cohorts by disadvantage.  </w:t>
      </w:r>
    </w:p>
    <w:p w14:paraId="44956D12" w14:textId="1CA38B5C" w:rsidR="00454E0A" w:rsidRDefault="00454E0A" w:rsidP="00454E0A">
      <w:pPr>
        <w:pStyle w:val="Caption"/>
        <w:keepNext/>
      </w:pPr>
      <w:bookmarkStart w:id="5" w:name="_Ref112345507"/>
      <w:r>
        <w:t xml:space="preserve">Table </w:t>
      </w:r>
      <w:r w:rsidR="00E14893">
        <w:fldChar w:fldCharType="begin"/>
      </w:r>
      <w:r w:rsidR="00E14893">
        <w:instrText xml:space="preserve"> SEQ Table \* ARABIC </w:instrText>
      </w:r>
      <w:r w:rsidR="00E14893">
        <w:fldChar w:fldCharType="separate"/>
      </w:r>
      <w:r w:rsidR="0005315D">
        <w:rPr>
          <w:noProof/>
        </w:rPr>
        <w:t>4</w:t>
      </w:r>
      <w:r w:rsidR="00E14893">
        <w:rPr>
          <w:noProof/>
        </w:rPr>
        <w:fldChar w:fldCharType="end"/>
      </w:r>
      <w:bookmarkEnd w:id="5"/>
      <w:r>
        <w:t xml:space="preserve">: A summary of the 2013, 2014 and 2015 end of Key Stage </w:t>
      </w:r>
      <w:r w:rsidR="000D4A1D">
        <w:t>4 cohorts by disadvantage. The</w:t>
      </w:r>
      <w:r>
        <w:t xml:space="preserve"> cohort size has been adjusted to only include those individuals who were observed in at least one year following the end of Key Stage 4</w:t>
      </w:r>
      <w:r w:rsidR="000D4A1D">
        <w:t>. This is 99% of the initial cohort.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54"/>
        <w:gridCol w:w="1871"/>
        <w:gridCol w:w="1871"/>
        <w:gridCol w:w="1871"/>
      </w:tblGrid>
      <w:tr w:rsidR="00454E0A" w:rsidRPr="00454E0A" w14:paraId="6AA82DF8" w14:textId="77777777" w:rsidTr="00454E0A">
        <w:trPr>
          <w:jc w:val="center"/>
        </w:trPr>
        <w:tc>
          <w:tcPr>
            <w:tcW w:w="2254" w:type="dxa"/>
            <w:tcBorders>
              <w:right w:val="nil"/>
            </w:tcBorders>
          </w:tcPr>
          <w:p w14:paraId="3B37E64B" w14:textId="77777777" w:rsidR="00454E0A" w:rsidRPr="00454E0A" w:rsidRDefault="00454E0A" w:rsidP="00454E0A"/>
        </w:tc>
        <w:tc>
          <w:tcPr>
            <w:tcW w:w="5613" w:type="dxa"/>
            <w:gridSpan w:val="3"/>
            <w:tcBorders>
              <w:left w:val="nil"/>
              <w:bottom w:val="single" w:sz="4" w:space="0" w:color="auto"/>
            </w:tcBorders>
            <w:vAlign w:val="center"/>
          </w:tcPr>
          <w:p w14:paraId="6DD049B2" w14:textId="0E2ABC33" w:rsidR="00454E0A" w:rsidRPr="00454E0A" w:rsidRDefault="00454E0A" w:rsidP="00454E0A">
            <w:pPr>
              <w:jc w:val="center"/>
            </w:pPr>
            <w:r>
              <w:t>Key Stage 4 c</w:t>
            </w:r>
            <w:r w:rsidRPr="00454E0A">
              <w:t>ohort</w:t>
            </w:r>
          </w:p>
        </w:tc>
      </w:tr>
      <w:tr w:rsidR="00454E0A" w:rsidRPr="00454E0A" w14:paraId="3687F1F3" w14:textId="77777777" w:rsidTr="00226090">
        <w:trPr>
          <w:jc w:val="center"/>
        </w:trPr>
        <w:tc>
          <w:tcPr>
            <w:tcW w:w="2254" w:type="dxa"/>
            <w:tcBorders>
              <w:bottom w:val="single" w:sz="4" w:space="0" w:color="auto"/>
              <w:right w:val="nil"/>
            </w:tcBorders>
          </w:tcPr>
          <w:p w14:paraId="067F7931" w14:textId="77D58FE9" w:rsidR="00454E0A" w:rsidRPr="00454E0A" w:rsidRDefault="00454E0A" w:rsidP="00454E0A">
            <w:r>
              <w:t>% terms FSM</w:t>
            </w:r>
          </w:p>
        </w:tc>
        <w:tc>
          <w:tcPr>
            <w:tcW w:w="1871" w:type="dxa"/>
            <w:tcBorders>
              <w:top w:val="single" w:sz="4" w:space="0" w:color="auto"/>
              <w:left w:val="nil"/>
              <w:bottom w:val="single" w:sz="4" w:space="0" w:color="auto"/>
              <w:right w:val="nil"/>
            </w:tcBorders>
            <w:vAlign w:val="center"/>
          </w:tcPr>
          <w:p w14:paraId="635910D5" w14:textId="274827C2" w:rsidR="00454E0A" w:rsidRPr="00454E0A" w:rsidRDefault="00454E0A" w:rsidP="00226090">
            <w:pPr>
              <w:jc w:val="right"/>
            </w:pPr>
            <w:r w:rsidRPr="00454E0A">
              <w:t>2013</w:t>
            </w:r>
          </w:p>
        </w:tc>
        <w:tc>
          <w:tcPr>
            <w:tcW w:w="1871" w:type="dxa"/>
            <w:tcBorders>
              <w:top w:val="single" w:sz="4" w:space="0" w:color="auto"/>
              <w:left w:val="nil"/>
              <w:bottom w:val="single" w:sz="4" w:space="0" w:color="auto"/>
              <w:right w:val="nil"/>
            </w:tcBorders>
            <w:vAlign w:val="center"/>
          </w:tcPr>
          <w:p w14:paraId="6AE7B8E2" w14:textId="162A02CA" w:rsidR="00454E0A" w:rsidRPr="00454E0A" w:rsidRDefault="00454E0A" w:rsidP="00226090">
            <w:pPr>
              <w:jc w:val="right"/>
            </w:pPr>
            <w:r w:rsidRPr="00454E0A">
              <w:t>2014</w:t>
            </w:r>
          </w:p>
        </w:tc>
        <w:tc>
          <w:tcPr>
            <w:tcW w:w="1871" w:type="dxa"/>
            <w:tcBorders>
              <w:top w:val="single" w:sz="4" w:space="0" w:color="auto"/>
              <w:left w:val="nil"/>
              <w:bottom w:val="single" w:sz="4" w:space="0" w:color="auto"/>
            </w:tcBorders>
            <w:vAlign w:val="center"/>
          </w:tcPr>
          <w:p w14:paraId="56AC9975" w14:textId="64B9B388" w:rsidR="00454E0A" w:rsidRPr="00454E0A" w:rsidRDefault="00454E0A" w:rsidP="00226090">
            <w:pPr>
              <w:jc w:val="right"/>
            </w:pPr>
            <w:r w:rsidRPr="00454E0A">
              <w:t>2015</w:t>
            </w:r>
          </w:p>
        </w:tc>
      </w:tr>
      <w:tr w:rsidR="00226090" w:rsidRPr="00454E0A" w14:paraId="4BEDC036" w14:textId="77777777" w:rsidTr="00226090">
        <w:trPr>
          <w:jc w:val="center"/>
        </w:trPr>
        <w:tc>
          <w:tcPr>
            <w:tcW w:w="2254" w:type="dxa"/>
            <w:tcBorders>
              <w:top w:val="single" w:sz="4" w:space="0" w:color="auto"/>
              <w:right w:val="nil"/>
            </w:tcBorders>
          </w:tcPr>
          <w:p w14:paraId="1859C5F4" w14:textId="3733837E" w:rsidR="00226090" w:rsidRPr="00454E0A" w:rsidRDefault="00226090" w:rsidP="00226090">
            <w:pPr>
              <w:rPr>
                <w:b/>
              </w:rPr>
            </w:pPr>
            <w:r w:rsidRPr="00454E0A">
              <w:rPr>
                <w:b/>
              </w:rPr>
              <w:t>Cohort size (000s)</w:t>
            </w:r>
          </w:p>
        </w:tc>
        <w:tc>
          <w:tcPr>
            <w:tcW w:w="1871" w:type="dxa"/>
            <w:tcBorders>
              <w:top w:val="single" w:sz="4" w:space="0" w:color="auto"/>
              <w:left w:val="nil"/>
              <w:right w:val="nil"/>
            </w:tcBorders>
            <w:vAlign w:val="center"/>
          </w:tcPr>
          <w:p w14:paraId="470BF0D7" w14:textId="1D425919" w:rsidR="00226090" w:rsidRPr="00226090" w:rsidRDefault="00226090" w:rsidP="00226090">
            <w:pPr>
              <w:jc w:val="right"/>
              <w:rPr>
                <w:b/>
              </w:rPr>
            </w:pPr>
            <w:r w:rsidRPr="00226090">
              <w:rPr>
                <w:b/>
              </w:rPr>
              <w:t>599.3</w:t>
            </w:r>
          </w:p>
        </w:tc>
        <w:tc>
          <w:tcPr>
            <w:tcW w:w="1871" w:type="dxa"/>
            <w:tcBorders>
              <w:top w:val="single" w:sz="4" w:space="0" w:color="auto"/>
              <w:left w:val="nil"/>
              <w:right w:val="nil"/>
            </w:tcBorders>
            <w:vAlign w:val="center"/>
          </w:tcPr>
          <w:p w14:paraId="302341B9" w14:textId="4038A391" w:rsidR="00226090" w:rsidRPr="00226090" w:rsidRDefault="00226090" w:rsidP="00226090">
            <w:pPr>
              <w:jc w:val="right"/>
              <w:rPr>
                <w:b/>
              </w:rPr>
            </w:pPr>
            <w:r w:rsidRPr="00226090">
              <w:rPr>
                <w:b/>
              </w:rPr>
              <w:t>586.3</w:t>
            </w:r>
          </w:p>
        </w:tc>
        <w:tc>
          <w:tcPr>
            <w:tcW w:w="1871" w:type="dxa"/>
            <w:tcBorders>
              <w:top w:val="single" w:sz="4" w:space="0" w:color="auto"/>
              <w:left w:val="nil"/>
            </w:tcBorders>
            <w:vAlign w:val="center"/>
          </w:tcPr>
          <w:p w14:paraId="539D12F9" w14:textId="6FDC76A0" w:rsidR="00226090" w:rsidRPr="00226090" w:rsidRDefault="00226090" w:rsidP="00226090">
            <w:pPr>
              <w:jc w:val="right"/>
              <w:rPr>
                <w:b/>
              </w:rPr>
            </w:pPr>
            <w:r w:rsidRPr="00226090">
              <w:rPr>
                <w:b/>
              </w:rPr>
              <w:t>581.3</w:t>
            </w:r>
          </w:p>
        </w:tc>
      </w:tr>
      <w:tr w:rsidR="003C66CB" w:rsidRPr="00454E0A" w14:paraId="08021D5D" w14:textId="77777777" w:rsidTr="003C66CB">
        <w:trPr>
          <w:jc w:val="center"/>
        </w:trPr>
        <w:tc>
          <w:tcPr>
            <w:tcW w:w="2254" w:type="dxa"/>
            <w:tcBorders>
              <w:right w:val="nil"/>
            </w:tcBorders>
          </w:tcPr>
          <w:p w14:paraId="7AF3A4B7" w14:textId="60634944" w:rsidR="003C66CB" w:rsidRPr="00454E0A" w:rsidRDefault="003C66CB" w:rsidP="003C66CB">
            <w:r w:rsidRPr="00B65D6E">
              <w:t>Never FSM</w:t>
            </w:r>
          </w:p>
        </w:tc>
        <w:tc>
          <w:tcPr>
            <w:tcW w:w="1871" w:type="dxa"/>
            <w:tcBorders>
              <w:left w:val="nil"/>
              <w:right w:val="nil"/>
            </w:tcBorders>
            <w:vAlign w:val="center"/>
          </w:tcPr>
          <w:p w14:paraId="7002FD29" w14:textId="160AC425" w:rsidR="003C66CB" w:rsidRPr="00454E0A" w:rsidRDefault="003C66CB" w:rsidP="003C66CB">
            <w:pPr>
              <w:jc w:val="right"/>
            </w:pPr>
            <w:r w:rsidRPr="00F54B7C">
              <w:t>67%</w:t>
            </w:r>
          </w:p>
        </w:tc>
        <w:tc>
          <w:tcPr>
            <w:tcW w:w="1871" w:type="dxa"/>
            <w:tcBorders>
              <w:left w:val="nil"/>
              <w:right w:val="nil"/>
            </w:tcBorders>
            <w:vAlign w:val="center"/>
          </w:tcPr>
          <w:p w14:paraId="3DB6F153" w14:textId="2368D054" w:rsidR="003C66CB" w:rsidRPr="00454E0A" w:rsidRDefault="003C66CB" w:rsidP="003C66CB">
            <w:pPr>
              <w:jc w:val="right"/>
            </w:pPr>
            <w:r w:rsidRPr="00F54B7C">
              <w:t>67%</w:t>
            </w:r>
          </w:p>
        </w:tc>
        <w:tc>
          <w:tcPr>
            <w:tcW w:w="1871" w:type="dxa"/>
            <w:tcBorders>
              <w:left w:val="nil"/>
            </w:tcBorders>
            <w:vAlign w:val="center"/>
          </w:tcPr>
          <w:p w14:paraId="2E54D87E" w14:textId="1749A673" w:rsidR="003C66CB" w:rsidRPr="00454E0A" w:rsidRDefault="003C66CB" w:rsidP="003C66CB">
            <w:pPr>
              <w:jc w:val="right"/>
            </w:pPr>
            <w:r w:rsidRPr="00F54B7C">
              <w:t>67%</w:t>
            </w:r>
          </w:p>
        </w:tc>
      </w:tr>
      <w:tr w:rsidR="003C66CB" w:rsidRPr="00454E0A" w14:paraId="585F6A23" w14:textId="77777777" w:rsidTr="003C66CB">
        <w:trPr>
          <w:jc w:val="center"/>
        </w:trPr>
        <w:tc>
          <w:tcPr>
            <w:tcW w:w="2254" w:type="dxa"/>
            <w:tcBorders>
              <w:right w:val="nil"/>
            </w:tcBorders>
          </w:tcPr>
          <w:p w14:paraId="542D261E" w14:textId="5BFEAC3D" w:rsidR="003C66CB" w:rsidRPr="00454E0A" w:rsidRDefault="003C66CB" w:rsidP="003C66CB">
            <w:r w:rsidRPr="00B65D6E">
              <w:t>&lt;= 25%</w:t>
            </w:r>
          </w:p>
        </w:tc>
        <w:tc>
          <w:tcPr>
            <w:tcW w:w="1871" w:type="dxa"/>
            <w:tcBorders>
              <w:left w:val="nil"/>
              <w:right w:val="nil"/>
            </w:tcBorders>
            <w:vAlign w:val="center"/>
          </w:tcPr>
          <w:p w14:paraId="631C229D" w14:textId="6CDF6999" w:rsidR="003C66CB" w:rsidRPr="00454E0A" w:rsidRDefault="003C66CB" w:rsidP="003C66CB">
            <w:pPr>
              <w:jc w:val="right"/>
            </w:pPr>
            <w:r w:rsidRPr="00F54B7C">
              <w:t>9%</w:t>
            </w:r>
          </w:p>
        </w:tc>
        <w:tc>
          <w:tcPr>
            <w:tcW w:w="1871" w:type="dxa"/>
            <w:tcBorders>
              <w:left w:val="nil"/>
              <w:right w:val="nil"/>
            </w:tcBorders>
            <w:vAlign w:val="center"/>
          </w:tcPr>
          <w:p w14:paraId="4968D972" w14:textId="0ACB2F04" w:rsidR="003C66CB" w:rsidRPr="00454E0A" w:rsidRDefault="003C66CB" w:rsidP="003C66CB">
            <w:pPr>
              <w:jc w:val="right"/>
            </w:pPr>
            <w:r w:rsidRPr="00F54B7C">
              <w:t>9%</w:t>
            </w:r>
          </w:p>
        </w:tc>
        <w:tc>
          <w:tcPr>
            <w:tcW w:w="1871" w:type="dxa"/>
            <w:tcBorders>
              <w:left w:val="nil"/>
            </w:tcBorders>
            <w:vAlign w:val="center"/>
          </w:tcPr>
          <w:p w14:paraId="566AC048" w14:textId="77CC797F" w:rsidR="003C66CB" w:rsidRPr="00454E0A" w:rsidRDefault="003C66CB" w:rsidP="003C66CB">
            <w:pPr>
              <w:jc w:val="right"/>
            </w:pPr>
            <w:r w:rsidRPr="00F54B7C">
              <w:t>9%</w:t>
            </w:r>
          </w:p>
        </w:tc>
      </w:tr>
      <w:tr w:rsidR="003C66CB" w:rsidRPr="00454E0A" w14:paraId="222E3A69" w14:textId="77777777" w:rsidTr="003C66CB">
        <w:trPr>
          <w:jc w:val="center"/>
        </w:trPr>
        <w:tc>
          <w:tcPr>
            <w:tcW w:w="2254" w:type="dxa"/>
            <w:tcBorders>
              <w:right w:val="nil"/>
            </w:tcBorders>
          </w:tcPr>
          <w:p w14:paraId="5F77B4B4" w14:textId="542287A3" w:rsidR="003C66CB" w:rsidRPr="00454E0A" w:rsidRDefault="003C66CB" w:rsidP="003C66CB">
            <w:r w:rsidRPr="00B65D6E">
              <w:t>25% to 50%</w:t>
            </w:r>
          </w:p>
        </w:tc>
        <w:tc>
          <w:tcPr>
            <w:tcW w:w="1871" w:type="dxa"/>
            <w:tcBorders>
              <w:left w:val="nil"/>
              <w:right w:val="nil"/>
            </w:tcBorders>
            <w:vAlign w:val="center"/>
          </w:tcPr>
          <w:p w14:paraId="0E5C3E20" w14:textId="013D3642" w:rsidR="003C66CB" w:rsidRPr="00454E0A" w:rsidRDefault="003C66CB" w:rsidP="003C66CB">
            <w:pPr>
              <w:jc w:val="right"/>
            </w:pPr>
            <w:r w:rsidRPr="00F54B7C">
              <w:t>8%</w:t>
            </w:r>
          </w:p>
        </w:tc>
        <w:tc>
          <w:tcPr>
            <w:tcW w:w="1871" w:type="dxa"/>
            <w:tcBorders>
              <w:left w:val="nil"/>
              <w:right w:val="nil"/>
            </w:tcBorders>
            <w:vAlign w:val="center"/>
          </w:tcPr>
          <w:p w14:paraId="03C81836" w14:textId="403779FD" w:rsidR="003C66CB" w:rsidRPr="00454E0A" w:rsidRDefault="003C66CB" w:rsidP="003C66CB">
            <w:pPr>
              <w:jc w:val="right"/>
            </w:pPr>
            <w:r w:rsidRPr="00F54B7C">
              <w:t>8%</w:t>
            </w:r>
          </w:p>
        </w:tc>
        <w:tc>
          <w:tcPr>
            <w:tcW w:w="1871" w:type="dxa"/>
            <w:tcBorders>
              <w:left w:val="nil"/>
            </w:tcBorders>
            <w:vAlign w:val="center"/>
          </w:tcPr>
          <w:p w14:paraId="2E558724" w14:textId="2A0C9AF1" w:rsidR="003C66CB" w:rsidRPr="00454E0A" w:rsidRDefault="003C66CB" w:rsidP="003C66CB">
            <w:pPr>
              <w:jc w:val="right"/>
            </w:pPr>
            <w:r w:rsidRPr="00F54B7C">
              <w:t>8%</w:t>
            </w:r>
          </w:p>
        </w:tc>
      </w:tr>
      <w:tr w:rsidR="003C66CB" w:rsidRPr="00454E0A" w14:paraId="5E8BBDE0" w14:textId="77777777" w:rsidTr="003C66CB">
        <w:trPr>
          <w:jc w:val="center"/>
        </w:trPr>
        <w:tc>
          <w:tcPr>
            <w:tcW w:w="2254" w:type="dxa"/>
            <w:tcBorders>
              <w:right w:val="nil"/>
            </w:tcBorders>
          </w:tcPr>
          <w:p w14:paraId="628388D0" w14:textId="4BBA4C22" w:rsidR="003C66CB" w:rsidRPr="00454E0A" w:rsidRDefault="003C66CB" w:rsidP="003C66CB">
            <w:r w:rsidRPr="00B65D6E">
              <w:t>50% to 80%</w:t>
            </w:r>
          </w:p>
        </w:tc>
        <w:tc>
          <w:tcPr>
            <w:tcW w:w="1871" w:type="dxa"/>
            <w:tcBorders>
              <w:left w:val="nil"/>
              <w:right w:val="nil"/>
            </w:tcBorders>
            <w:vAlign w:val="center"/>
          </w:tcPr>
          <w:p w14:paraId="6B247604" w14:textId="779C7934" w:rsidR="003C66CB" w:rsidRPr="00454E0A" w:rsidRDefault="003C66CB" w:rsidP="003C66CB">
            <w:pPr>
              <w:jc w:val="right"/>
            </w:pPr>
            <w:r w:rsidRPr="00F54B7C">
              <w:t>8%</w:t>
            </w:r>
          </w:p>
        </w:tc>
        <w:tc>
          <w:tcPr>
            <w:tcW w:w="1871" w:type="dxa"/>
            <w:tcBorders>
              <w:left w:val="nil"/>
              <w:right w:val="nil"/>
            </w:tcBorders>
            <w:vAlign w:val="center"/>
          </w:tcPr>
          <w:p w14:paraId="70D06B37" w14:textId="3EC4E0E5" w:rsidR="003C66CB" w:rsidRPr="00454E0A" w:rsidRDefault="003C66CB" w:rsidP="003C66CB">
            <w:pPr>
              <w:jc w:val="right"/>
            </w:pPr>
            <w:r w:rsidRPr="00F54B7C">
              <w:t>8%</w:t>
            </w:r>
          </w:p>
        </w:tc>
        <w:tc>
          <w:tcPr>
            <w:tcW w:w="1871" w:type="dxa"/>
            <w:tcBorders>
              <w:left w:val="nil"/>
            </w:tcBorders>
            <w:vAlign w:val="center"/>
          </w:tcPr>
          <w:p w14:paraId="06AE0F40" w14:textId="3ECB54F7" w:rsidR="003C66CB" w:rsidRPr="00454E0A" w:rsidRDefault="003C66CB" w:rsidP="003C66CB">
            <w:pPr>
              <w:jc w:val="right"/>
            </w:pPr>
            <w:r w:rsidRPr="00F54B7C">
              <w:t>8%</w:t>
            </w:r>
          </w:p>
        </w:tc>
      </w:tr>
      <w:tr w:rsidR="003C66CB" w:rsidRPr="00454E0A" w14:paraId="4347B816" w14:textId="77777777" w:rsidTr="003C66CB">
        <w:trPr>
          <w:jc w:val="center"/>
        </w:trPr>
        <w:tc>
          <w:tcPr>
            <w:tcW w:w="2254" w:type="dxa"/>
            <w:tcBorders>
              <w:right w:val="nil"/>
            </w:tcBorders>
          </w:tcPr>
          <w:p w14:paraId="320019FC" w14:textId="320CA04F" w:rsidR="003C66CB" w:rsidRPr="00454E0A" w:rsidRDefault="003C66CB" w:rsidP="003C66CB">
            <w:r>
              <w:t>80% or more</w:t>
            </w:r>
          </w:p>
        </w:tc>
        <w:tc>
          <w:tcPr>
            <w:tcW w:w="1871" w:type="dxa"/>
            <w:tcBorders>
              <w:left w:val="nil"/>
              <w:right w:val="nil"/>
            </w:tcBorders>
            <w:vAlign w:val="center"/>
          </w:tcPr>
          <w:p w14:paraId="48F1A9B2" w14:textId="78D999AA" w:rsidR="003C66CB" w:rsidRPr="00454E0A" w:rsidRDefault="003C66CB" w:rsidP="003C66CB">
            <w:pPr>
              <w:jc w:val="right"/>
            </w:pPr>
            <w:r w:rsidRPr="00F54B7C">
              <w:t>8%</w:t>
            </w:r>
          </w:p>
        </w:tc>
        <w:tc>
          <w:tcPr>
            <w:tcW w:w="1871" w:type="dxa"/>
            <w:tcBorders>
              <w:left w:val="nil"/>
              <w:right w:val="nil"/>
            </w:tcBorders>
            <w:vAlign w:val="center"/>
          </w:tcPr>
          <w:p w14:paraId="7A07E0A3" w14:textId="5F6E13D6" w:rsidR="003C66CB" w:rsidRPr="00454E0A" w:rsidRDefault="003C66CB" w:rsidP="003C66CB">
            <w:pPr>
              <w:jc w:val="right"/>
            </w:pPr>
            <w:r w:rsidRPr="00F54B7C">
              <w:t>8%</w:t>
            </w:r>
          </w:p>
        </w:tc>
        <w:tc>
          <w:tcPr>
            <w:tcW w:w="1871" w:type="dxa"/>
            <w:tcBorders>
              <w:left w:val="nil"/>
            </w:tcBorders>
            <w:vAlign w:val="center"/>
          </w:tcPr>
          <w:p w14:paraId="1B41B84A" w14:textId="07D26160" w:rsidR="003C66CB" w:rsidRPr="00454E0A" w:rsidRDefault="003C66CB" w:rsidP="003C66CB">
            <w:pPr>
              <w:jc w:val="right"/>
            </w:pPr>
            <w:r w:rsidRPr="00F54B7C">
              <w:t>8%</w:t>
            </w:r>
          </w:p>
        </w:tc>
      </w:tr>
    </w:tbl>
    <w:p w14:paraId="2E22B6C0" w14:textId="3168F681" w:rsidR="00454E0A" w:rsidRDefault="00454E0A" w:rsidP="00492796"/>
    <w:p w14:paraId="22C58476" w14:textId="0CC58441" w:rsidR="000D4A1D" w:rsidRDefault="000D4A1D" w:rsidP="00492796">
      <w:r>
        <w:t xml:space="preserve">We see that the majority of individuals in each cohort, around 67%, were never eligible for FSM whilst at school. There are roughly equal proportions of individuals in each of the other disadvantage groupings. Around 8% of individuals in each cohort were eligible for FSM for at least 80% of their time at school. </w:t>
      </w:r>
      <w:r w:rsidR="00BC471D">
        <w:t>These are the individuals we refer to as “long-term disadvantaged"</w:t>
      </w:r>
      <w:r w:rsidR="0021792A">
        <w:t>.</w:t>
      </w:r>
    </w:p>
    <w:p w14:paraId="74F7B380" w14:textId="6183D5DA" w:rsidR="00F966E9" w:rsidRDefault="00492796" w:rsidP="00F966E9">
      <w:pPr>
        <w:pStyle w:val="Heading4"/>
      </w:pPr>
      <w:r>
        <w:t>Disadvantage by ethnicity</w:t>
      </w:r>
    </w:p>
    <w:p w14:paraId="5DAE310E" w14:textId="5D55B83A" w:rsidR="00F966E9" w:rsidRDefault="00F966E9" w:rsidP="004F155C">
      <w:r>
        <w:t xml:space="preserve">Disadvantage varies by ethnic background. </w:t>
      </w:r>
      <w:r>
        <w:fldChar w:fldCharType="begin"/>
      </w:r>
      <w:r>
        <w:instrText xml:space="preserve"> REF _Ref112348643 \h </w:instrText>
      </w:r>
      <w:r>
        <w:fldChar w:fldCharType="separate"/>
      </w:r>
      <w:r w:rsidR="00882925">
        <w:t xml:space="preserve">Table </w:t>
      </w:r>
      <w:r w:rsidR="00882925">
        <w:rPr>
          <w:noProof/>
        </w:rPr>
        <w:t>5</w:t>
      </w:r>
      <w:r>
        <w:fldChar w:fldCharType="end"/>
      </w:r>
      <w:r>
        <w:t xml:space="preserve"> (overleaf) shows the breakdown of individuals in the 2013 Key Stage 4 cohort by ethnicity and disadvantage. Those from Irish Traveller, White Romany, Black African or Bangladeshi backgrounds were most likely to have spent the longest proportion of their school careers eligible for FSM. In contrast, those from a Chinese, Indian, White British or Other White background were most likely to have spent none of their school careers eligible for FSM. </w:t>
      </w:r>
    </w:p>
    <w:p w14:paraId="2CC74D92" w14:textId="7B408563" w:rsidR="00F966E9" w:rsidRDefault="00F966E9" w:rsidP="004F155C"/>
    <w:p w14:paraId="754A1DA6" w14:textId="37605EB8" w:rsidR="00882925" w:rsidRDefault="00882925" w:rsidP="004F155C"/>
    <w:p w14:paraId="071E849A" w14:textId="38D1AD8F" w:rsidR="00882925" w:rsidRDefault="00882925" w:rsidP="004F155C"/>
    <w:p w14:paraId="5EFC27D4" w14:textId="0A90EAE7" w:rsidR="00882925" w:rsidRDefault="00882925" w:rsidP="004F155C"/>
    <w:p w14:paraId="74904F32" w14:textId="5F3B229B" w:rsidR="00882925" w:rsidRDefault="00882925" w:rsidP="004F155C"/>
    <w:p w14:paraId="7AAB6E72" w14:textId="1DB8F8F6" w:rsidR="00882925" w:rsidRDefault="00882925" w:rsidP="004F155C"/>
    <w:p w14:paraId="5C33BE6C" w14:textId="481D12E5" w:rsidR="00882925" w:rsidRDefault="00882925" w:rsidP="004F155C"/>
    <w:p w14:paraId="1E6AB6FB" w14:textId="7EFA8236" w:rsidR="00882925" w:rsidRDefault="00882925" w:rsidP="004F155C"/>
    <w:p w14:paraId="6B62594F" w14:textId="77777777" w:rsidR="00882925" w:rsidRPr="00F966E9" w:rsidRDefault="00882925" w:rsidP="004F155C"/>
    <w:p w14:paraId="789751AA" w14:textId="77777777" w:rsidR="003C2828" w:rsidRPr="003C2828" w:rsidRDefault="003C2828" w:rsidP="004F155C"/>
    <w:p w14:paraId="6F748B25" w14:textId="417B8A7E" w:rsidR="003C2828" w:rsidRDefault="003C2828" w:rsidP="003C2828">
      <w:pPr>
        <w:pStyle w:val="Caption"/>
        <w:keepNext/>
      </w:pPr>
      <w:bookmarkStart w:id="6" w:name="_Ref112348643"/>
      <w:r>
        <w:lastRenderedPageBreak/>
        <w:t xml:space="preserve">Table </w:t>
      </w:r>
      <w:r w:rsidR="00E14893">
        <w:fldChar w:fldCharType="begin"/>
      </w:r>
      <w:r w:rsidR="00E14893">
        <w:instrText xml:space="preserve"> SEQ Table \* ARABIC </w:instrText>
      </w:r>
      <w:r w:rsidR="00E14893">
        <w:fldChar w:fldCharType="separate"/>
      </w:r>
      <w:r w:rsidR="0005315D">
        <w:rPr>
          <w:noProof/>
        </w:rPr>
        <w:t>5</w:t>
      </w:r>
      <w:r w:rsidR="00E14893">
        <w:rPr>
          <w:noProof/>
        </w:rPr>
        <w:fldChar w:fldCharType="end"/>
      </w:r>
      <w:bookmarkEnd w:id="6"/>
      <w:r>
        <w:t>: A summary of the 2013 Key Stage 4 cohort by ethnicity and disadvantage. Sorted in descending order of the proportion of individuals who were eligible for</w:t>
      </w:r>
      <w:r w:rsidR="00080770">
        <w:t xml:space="preserve"> free school meals</w:t>
      </w:r>
      <w:r>
        <w:t xml:space="preserve"> </w:t>
      </w:r>
      <w:r w:rsidR="00080770">
        <w:t>(</w:t>
      </w:r>
      <w:r>
        <w:t>FSM</w:t>
      </w:r>
      <w:r w:rsidR="00080770">
        <w:t>)</w:t>
      </w:r>
      <w:r>
        <w:t xml:space="preserve"> for at least 80% of terms.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56"/>
        <w:gridCol w:w="1135"/>
        <w:gridCol w:w="56"/>
        <w:gridCol w:w="908"/>
        <w:gridCol w:w="56"/>
        <w:gridCol w:w="908"/>
        <w:gridCol w:w="56"/>
        <w:gridCol w:w="908"/>
        <w:gridCol w:w="56"/>
        <w:gridCol w:w="908"/>
        <w:gridCol w:w="56"/>
        <w:gridCol w:w="908"/>
        <w:gridCol w:w="56"/>
      </w:tblGrid>
      <w:tr w:rsidR="003C2828" w14:paraId="34A3BF2E" w14:textId="77777777" w:rsidTr="003C2828">
        <w:trPr>
          <w:trHeight w:val="340"/>
        </w:trPr>
        <w:tc>
          <w:tcPr>
            <w:tcW w:w="3231" w:type="dxa"/>
            <w:gridSpan w:val="2"/>
          </w:tcPr>
          <w:p w14:paraId="71A008FA" w14:textId="77777777" w:rsidR="003C2828" w:rsidRDefault="003C2828" w:rsidP="000C7D59"/>
        </w:tc>
        <w:tc>
          <w:tcPr>
            <w:tcW w:w="1191" w:type="dxa"/>
            <w:gridSpan w:val="2"/>
          </w:tcPr>
          <w:p w14:paraId="2385476C" w14:textId="77777777" w:rsidR="003C2828" w:rsidRDefault="003C2828" w:rsidP="001A608A">
            <w:pPr>
              <w:jc w:val="right"/>
            </w:pPr>
          </w:p>
        </w:tc>
        <w:tc>
          <w:tcPr>
            <w:tcW w:w="4820" w:type="dxa"/>
            <w:gridSpan w:val="10"/>
            <w:tcBorders>
              <w:bottom w:val="single" w:sz="4" w:space="0" w:color="auto"/>
            </w:tcBorders>
            <w:vAlign w:val="center"/>
          </w:tcPr>
          <w:p w14:paraId="37DD0208" w14:textId="371FCC96" w:rsidR="003C2828" w:rsidRDefault="003C2828" w:rsidP="003C2828">
            <w:pPr>
              <w:jc w:val="center"/>
            </w:pPr>
            <w:r>
              <w:t>% terms eligible for FSM</w:t>
            </w:r>
          </w:p>
        </w:tc>
      </w:tr>
      <w:tr w:rsidR="003C2828" w14:paraId="682EAC7B" w14:textId="77777777" w:rsidTr="00226090">
        <w:trPr>
          <w:trHeight w:val="680"/>
        </w:trPr>
        <w:tc>
          <w:tcPr>
            <w:tcW w:w="3231" w:type="dxa"/>
            <w:gridSpan w:val="2"/>
            <w:tcBorders>
              <w:bottom w:val="single" w:sz="4" w:space="0" w:color="auto"/>
            </w:tcBorders>
            <w:vAlign w:val="center"/>
          </w:tcPr>
          <w:p w14:paraId="303578F3" w14:textId="081344A6" w:rsidR="000C7D59" w:rsidRDefault="004C061F" w:rsidP="004C061F">
            <w:r>
              <w:t>Ethnicity</w:t>
            </w:r>
          </w:p>
        </w:tc>
        <w:tc>
          <w:tcPr>
            <w:tcW w:w="1191" w:type="dxa"/>
            <w:gridSpan w:val="2"/>
            <w:tcBorders>
              <w:bottom w:val="single" w:sz="4" w:space="0" w:color="auto"/>
            </w:tcBorders>
            <w:vAlign w:val="center"/>
          </w:tcPr>
          <w:p w14:paraId="0E6DBFA6" w14:textId="45C7DCCE" w:rsidR="000C7D59" w:rsidRDefault="000C7D59" w:rsidP="00226090">
            <w:pPr>
              <w:jc w:val="right"/>
            </w:pPr>
            <w:r>
              <w:t>Cohort size (000s)</w:t>
            </w:r>
          </w:p>
        </w:tc>
        <w:tc>
          <w:tcPr>
            <w:tcW w:w="964" w:type="dxa"/>
            <w:gridSpan w:val="2"/>
            <w:tcBorders>
              <w:top w:val="single" w:sz="4" w:space="0" w:color="auto"/>
              <w:bottom w:val="single" w:sz="4" w:space="0" w:color="auto"/>
            </w:tcBorders>
            <w:vAlign w:val="center"/>
          </w:tcPr>
          <w:p w14:paraId="235DEDB7" w14:textId="5D50AFF0" w:rsidR="000C7D59" w:rsidRDefault="001A608A" w:rsidP="00226090">
            <w:pPr>
              <w:jc w:val="right"/>
            </w:pPr>
            <w:r>
              <w:t>Never</w:t>
            </w:r>
          </w:p>
        </w:tc>
        <w:tc>
          <w:tcPr>
            <w:tcW w:w="964" w:type="dxa"/>
            <w:gridSpan w:val="2"/>
            <w:tcBorders>
              <w:top w:val="single" w:sz="4" w:space="0" w:color="auto"/>
              <w:bottom w:val="single" w:sz="4" w:space="0" w:color="auto"/>
            </w:tcBorders>
            <w:vAlign w:val="center"/>
          </w:tcPr>
          <w:p w14:paraId="657557F9" w14:textId="17965FBA" w:rsidR="000C7D59" w:rsidRDefault="001A608A" w:rsidP="00226090">
            <w:pPr>
              <w:jc w:val="right"/>
            </w:pPr>
            <w:r>
              <w:t>&lt;=25%</w:t>
            </w:r>
          </w:p>
        </w:tc>
        <w:tc>
          <w:tcPr>
            <w:tcW w:w="964" w:type="dxa"/>
            <w:gridSpan w:val="2"/>
            <w:tcBorders>
              <w:top w:val="single" w:sz="4" w:space="0" w:color="auto"/>
              <w:bottom w:val="single" w:sz="4" w:space="0" w:color="auto"/>
            </w:tcBorders>
            <w:vAlign w:val="center"/>
          </w:tcPr>
          <w:p w14:paraId="112863F4" w14:textId="77777777" w:rsidR="003C2828" w:rsidRDefault="001A608A" w:rsidP="00226090">
            <w:pPr>
              <w:jc w:val="right"/>
            </w:pPr>
            <w:r>
              <w:t>25%</w:t>
            </w:r>
            <w:r w:rsidR="003C2828">
              <w:t xml:space="preserve"> </w:t>
            </w:r>
          </w:p>
          <w:p w14:paraId="61BCEB22" w14:textId="10D9DE0D" w:rsidR="000C7D59" w:rsidRDefault="003C2828" w:rsidP="00226090">
            <w:pPr>
              <w:jc w:val="right"/>
            </w:pPr>
            <w:r>
              <w:t xml:space="preserve">to </w:t>
            </w:r>
            <w:r w:rsidR="001A608A">
              <w:t>50%</w:t>
            </w:r>
          </w:p>
        </w:tc>
        <w:tc>
          <w:tcPr>
            <w:tcW w:w="964" w:type="dxa"/>
            <w:gridSpan w:val="2"/>
            <w:tcBorders>
              <w:top w:val="single" w:sz="4" w:space="0" w:color="auto"/>
              <w:bottom w:val="single" w:sz="4" w:space="0" w:color="auto"/>
            </w:tcBorders>
            <w:vAlign w:val="center"/>
          </w:tcPr>
          <w:p w14:paraId="74F82741" w14:textId="77777777" w:rsidR="003C2828" w:rsidRDefault="001A608A" w:rsidP="00226090">
            <w:pPr>
              <w:jc w:val="right"/>
            </w:pPr>
            <w:r>
              <w:t>50%</w:t>
            </w:r>
            <w:r w:rsidR="003C2828">
              <w:t xml:space="preserve"> </w:t>
            </w:r>
          </w:p>
          <w:p w14:paraId="279564F9" w14:textId="558F4934" w:rsidR="000C7D59" w:rsidRDefault="003C2828" w:rsidP="00226090">
            <w:pPr>
              <w:jc w:val="right"/>
            </w:pPr>
            <w:r>
              <w:t xml:space="preserve">to </w:t>
            </w:r>
            <w:r w:rsidR="001A608A">
              <w:t>80%</w:t>
            </w:r>
          </w:p>
        </w:tc>
        <w:tc>
          <w:tcPr>
            <w:tcW w:w="964" w:type="dxa"/>
            <w:gridSpan w:val="2"/>
            <w:tcBorders>
              <w:top w:val="single" w:sz="4" w:space="0" w:color="auto"/>
              <w:bottom w:val="single" w:sz="4" w:space="0" w:color="auto"/>
            </w:tcBorders>
            <w:vAlign w:val="center"/>
          </w:tcPr>
          <w:p w14:paraId="294F7455" w14:textId="4D49FA53" w:rsidR="000C7D59" w:rsidRDefault="001A608A" w:rsidP="00226090">
            <w:pPr>
              <w:jc w:val="right"/>
            </w:pPr>
            <w:r>
              <w:t>80%+</w:t>
            </w:r>
          </w:p>
        </w:tc>
      </w:tr>
      <w:tr w:rsidR="003C66CB" w14:paraId="04BD5116" w14:textId="77777777" w:rsidTr="003C66CB">
        <w:trPr>
          <w:gridAfter w:val="1"/>
          <w:wAfter w:w="56" w:type="dxa"/>
          <w:trHeight w:val="312"/>
        </w:trPr>
        <w:tc>
          <w:tcPr>
            <w:tcW w:w="3175" w:type="dxa"/>
          </w:tcPr>
          <w:p w14:paraId="619BCF16" w14:textId="440016A6" w:rsidR="003C66CB" w:rsidRDefault="003C66CB" w:rsidP="003C66CB">
            <w:r w:rsidRPr="00573CBA">
              <w:t>Traveller of Irish Heritage</w:t>
            </w:r>
          </w:p>
        </w:tc>
        <w:tc>
          <w:tcPr>
            <w:tcW w:w="1191" w:type="dxa"/>
            <w:gridSpan w:val="2"/>
            <w:vAlign w:val="center"/>
          </w:tcPr>
          <w:p w14:paraId="3164681E" w14:textId="037FE9B7" w:rsidR="003C66CB" w:rsidRDefault="003C66CB" w:rsidP="003C66CB">
            <w:pPr>
              <w:jc w:val="right"/>
            </w:pPr>
            <w:r w:rsidRPr="00B30D29">
              <w:t>&lt;1</w:t>
            </w:r>
          </w:p>
        </w:tc>
        <w:tc>
          <w:tcPr>
            <w:tcW w:w="964" w:type="dxa"/>
            <w:gridSpan w:val="2"/>
            <w:vAlign w:val="center"/>
          </w:tcPr>
          <w:p w14:paraId="73FB1AAA" w14:textId="500FBAB1" w:rsidR="003C66CB" w:rsidRDefault="003C66CB" w:rsidP="003C66CB">
            <w:pPr>
              <w:jc w:val="right"/>
            </w:pPr>
            <w:r w:rsidRPr="007E56E0">
              <w:t>17%</w:t>
            </w:r>
          </w:p>
        </w:tc>
        <w:tc>
          <w:tcPr>
            <w:tcW w:w="964" w:type="dxa"/>
            <w:gridSpan w:val="2"/>
            <w:vAlign w:val="center"/>
          </w:tcPr>
          <w:p w14:paraId="033AEED0" w14:textId="0F3FA145" w:rsidR="003C66CB" w:rsidRDefault="003C66CB" w:rsidP="003C66CB">
            <w:pPr>
              <w:jc w:val="right"/>
            </w:pPr>
            <w:r w:rsidRPr="007E56E0">
              <w:t>3%</w:t>
            </w:r>
          </w:p>
        </w:tc>
        <w:tc>
          <w:tcPr>
            <w:tcW w:w="964" w:type="dxa"/>
            <w:gridSpan w:val="2"/>
            <w:vAlign w:val="center"/>
          </w:tcPr>
          <w:p w14:paraId="06E84934" w14:textId="7235D57D" w:rsidR="003C66CB" w:rsidRDefault="003C66CB" w:rsidP="003C66CB">
            <w:pPr>
              <w:jc w:val="right"/>
            </w:pPr>
            <w:r w:rsidRPr="007E56E0">
              <w:t>7%</w:t>
            </w:r>
          </w:p>
        </w:tc>
        <w:tc>
          <w:tcPr>
            <w:tcW w:w="964" w:type="dxa"/>
            <w:gridSpan w:val="2"/>
            <w:vAlign w:val="center"/>
          </w:tcPr>
          <w:p w14:paraId="184D06BE" w14:textId="00F284C9" w:rsidR="003C66CB" w:rsidRDefault="003C66CB" w:rsidP="003C66CB">
            <w:pPr>
              <w:jc w:val="right"/>
            </w:pPr>
            <w:r w:rsidRPr="007E56E0">
              <w:t>22%</w:t>
            </w:r>
          </w:p>
        </w:tc>
        <w:tc>
          <w:tcPr>
            <w:tcW w:w="964" w:type="dxa"/>
            <w:gridSpan w:val="2"/>
            <w:vAlign w:val="center"/>
          </w:tcPr>
          <w:p w14:paraId="5E086FFE" w14:textId="1BB1DC90" w:rsidR="003C66CB" w:rsidRDefault="003C66CB" w:rsidP="003C66CB">
            <w:pPr>
              <w:jc w:val="right"/>
            </w:pPr>
            <w:r w:rsidRPr="007E56E0">
              <w:t>51%</w:t>
            </w:r>
          </w:p>
        </w:tc>
      </w:tr>
      <w:tr w:rsidR="003C66CB" w14:paraId="1647513B" w14:textId="77777777" w:rsidTr="003C66CB">
        <w:trPr>
          <w:gridAfter w:val="1"/>
          <w:wAfter w:w="56" w:type="dxa"/>
          <w:trHeight w:val="312"/>
        </w:trPr>
        <w:tc>
          <w:tcPr>
            <w:tcW w:w="3175" w:type="dxa"/>
          </w:tcPr>
          <w:p w14:paraId="6DDC60B4" w14:textId="5271A6C2" w:rsidR="003C66CB" w:rsidRDefault="003C66CB" w:rsidP="003C66CB">
            <w:r w:rsidRPr="00573CBA">
              <w:t>White Romany</w:t>
            </w:r>
          </w:p>
        </w:tc>
        <w:tc>
          <w:tcPr>
            <w:tcW w:w="1191" w:type="dxa"/>
            <w:gridSpan w:val="2"/>
            <w:vAlign w:val="center"/>
          </w:tcPr>
          <w:p w14:paraId="3A76BD92" w14:textId="715EED5B" w:rsidR="003C66CB" w:rsidRDefault="003C66CB" w:rsidP="003C66CB">
            <w:pPr>
              <w:jc w:val="right"/>
            </w:pPr>
            <w:r w:rsidRPr="00B30D29">
              <w:t>1.1</w:t>
            </w:r>
          </w:p>
        </w:tc>
        <w:tc>
          <w:tcPr>
            <w:tcW w:w="964" w:type="dxa"/>
            <w:gridSpan w:val="2"/>
            <w:vAlign w:val="center"/>
          </w:tcPr>
          <w:p w14:paraId="78535E55" w14:textId="3EEA21AD" w:rsidR="003C66CB" w:rsidRDefault="003C66CB" w:rsidP="003C66CB">
            <w:pPr>
              <w:jc w:val="right"/>
            </w:pPr>
            <w:r w:rsidRPr="007E56E0">
              <w:t>32%</w:t>
            </w:r>
          </w:p>
        </w:tc>
        <w:tc>
          <w:tcPr>
            <w:tcW w:w="964" w:type="dxa"/>
            <w:gridSpan w:val="2"/>
            <w:vAlign w:val="center"/>
          </w:tcPr>
          <w:p w14:paraId="3156C9FB" w14:textId="18CC48DF" w:rsidR="003C66CB" w:rsidRDefault="003C66CB" w:rsidP="003C66CB">
            <w:pPr>
              <w:jc w:val="right"/>
            </w:pPr>
            <w:r w:rsidRPr="007E56E0">
              <w:t>8%</w:t>
            </w:r>
          </w:p>
        </w:tc>
        <w:tc>
          <w:tcPr>
            <w:tcW w:w="964" w:type="dxa"/>
            <w:gridSpan w:val="2"/>
            <w:vAlign w:val="center"/>
          </w:tcPr>
          <w:p w14:paraId="698F799F" w14:textId="560BEDA2" w:rsidR="003C66CB" w:rsidRDefault="003C66CB" w:rsidP="003C66CB">
            <w:pPr>
              <w:jc w:val="right"/>
            </w:pPr>
            <w:r w:rsidRPr="007E56E0">
              <w:t>16%</w:t>
            </w:r>
          </w:p>
        </w:tc>
        <w:tc>
          <w:tcPr>
            <w:tcW w:w="964" w:type="dxa"/>
            <w:gridSpan w:val="2"/>
            <w:vAlign w:val="center"/>
          </w:tcPr>
          <w:p w14:paraId="4039C7FE" w14:textId="29B198DF" w:rsidR="003C66CB" w:rsidRDefault="003C66CB" w:rsidP="003C66CB">
            <w:pPr>
              <w:jc w:val="right"/>
            </w:pPr>
            <w:r w:rsidRPr="007E56E0">
              <w:t>16%</w:t>
            </w:r>
          </w:p>
        </w:tc>
        <w:tc>
          <w:tcPr>
            <w:tcW w:w="964" w:type="dxa"/>
            <w:gridSpan w:val="2"/>
            <w:vAlign w:val="center"/>
          </w:tcPr>
          <w:p w14:paraId="03BA1F16" w14:textId="19FED168" w:rsidR="003C66CB" w:rsidRDefault="003C66CB" w:rsidP="003C66CB">
            <w:pPr>
              <w:jc w:val="right"/>
            </w:pPr>
            <w:r w:rsidRPr="007E56E0">
              <w:t>28%</w:t>
            </w:r>
          </w:p>
        </w:tc>
      </w:tr>
      <w:tr w:rsidR="003C66CB" w14:paraId="7425A810" w14:textId="77777777" w:rsidTr="003C66CB">
        <w:trPr>
          <w:gridAfter w:val="1"/>
          <w:wAfter w:w="56" w:type="dxa"/>
          <w:trHeight w:val="312"/>
        </w:trPr>
        <w:tc>
          <w:tcPr>
            <w:tcW w:w="3175" w:type="dxa"/>
          </w:tcPr>
          <w:p w14:paraId="49040DCA" w14:textId="6D17531D" w:rsidR="003C66CB" w:rsidRDefault="003C66CB" w:rsidP="003C66CB">
            <w:r w:rsidRPr="00573CBA">
              <w:t>Black African</w:t>
            </w:r>
          </w:p>
        </w:tc>
        <w:tc>
          <w:tcPr>
            <w:tcW w:w="1191" w:type="dxa"/>
            <w:gridSpan w:val="2"/>
            <w:vAlign w:val="center"/>
          </w:tcPr>
          <w:p w14:paraId="3B91D18E" w14:textId="5294123A" w:rsidR="003C66CB" w:rsidRDefault="003C66CB" w:rsidP="003C66CB">
            <w:pPr>
              <w:jc w:val="right"/>
            </w:pPr>
            <w:r w:rsidRPr="00B30D29">
              <w:t>17.3</w:t>
            </w:r>
          </w:p>
        </w:tc>
        <w:tc>
          <w:tcPr>
            <w:tcW w:w="964" w:type="dxa"/>
            <w:gridSpan w:val="2"/>
            <w:vAlign w:val="center"/>
          </w:tcPr>
          <w:p w14:paraId="6420FFE3" w14:textId="20054E7A" w:rsidR="003C66CB" w:rsidRDefault="003C66CB" w:rsidP="003C66CB">
            <w:pPr>
              <w:jc w:val="right"/>
            </w:pPr>
            <w:r w:rsidRPr="007E56E0">
              <w:t>40%</w:t>
            </w:r>
          </w:p>
        </w:tc>
        <w:tc>
          <w:tcPr>
            <w:tcW w:w="964" w:type="dxa"/>
            <w:gridSpan w:val="2"/>
            <w:vAlign w:val="center"/>
          </w:tcPr>
          <w:p w14:paraId="6105965B" w14:textId="53686300" w:rsidR="003C66CB" w:rsidRDefault="003C66CB" w:rsidP="003C66CB">
            <w:pPr>
              <w:jc w:val="right"/>
            </w:pPr>
            <w:r w:rsidRPr="007E56E0">
              <w:t>9%</w:t>
            </w:r>
          </w:p>
        </w:tc>
        <w:tc>
          <w:tcPr>
            <w:tcW w:w="964" w:type="dxa"/>
            <w:gridSpan w:val="2"/>
            <w:vAlign w:val="center"/>
          </w:tcPr>
          <w:p w14:paraId="2E661AAB" w14:textId="41E11C5D" w:rsidR="003C66CB" w:rsidRDefault="003C66CB" w:rsidP="003C66CB">
            <w:pPr>
              <w:jc w:val="right"/>
            </w:pPr>
            <w:r w:rsidRPr="007E56E0">
              <w:t>10%</w:t>
            </w:r>
          </w:p>
        </w:tc>
        <w:tc>
          <w:tcPr>
            <w:tcW w:w="964" w:type="dxa"/>
            <w:gridSpan w:val="2"/>
            <w:vAlign w:val="center"/>
          </w:tcPr>
          <w:p w14:paraId="1E19E465" w14:textId="3DEA03BF" w:rsidR="003C66CB" w:rsidRDefault="003C66CB" w:rsidP="003C66CB">
            <w:pPr>
              <w:jc w:val="right"/>
            </w:pPr>
            <w:r w:rsidRPr="007E56E0">
              <w:t>15%</w:t>
            </w:r>
          </w:p>
        </w:tc>
        <w:tc>
          <w:tcPr>
            <w:tcW w:w="964" w:type="dxa"/>
            <w:gridSpan w:val="2"/>
            <w:vAlign w:val="center"/>
          </w:tcPr>
          <w:p w14:paraId="625BBB19" w14:textId="3C01F5EB" w:rsidR="003C66CB" w:rsidRDefault="003C66CB" w:rsidP="003C66CB">
            <w:pPr>
              <w:jc w:val="right"/>
            </w:pPr>
            <w:r w:rsidRPr="007E56E0">
              <w:t>26%</w:t>
            </w:r>
          </w:p>
        </w:tc>
      </w:tr>
      <w:tr w:rsidR="003C66CB" w14:paraId="4822376B" w14:textId="77777777" w:rsidTr="003C66CB">
        <w:trPr>
          <w:gridAfter w:val="1"/>
          <w:wAfter w:w="56" w:type="dxa"/>
          <w:trHeight w:val="312"/>
        </w:trPr>
        <w:tc>
          <w:tcPr>
            <w:tcW w:w="3175" w:type="dxa"/>
          </w:tcPr>
          <w:p w14:paraId="63AD62EC" w14:textId="32DC7C4B" w:rsidR="003C66CB" w:rsidRDefault="003C66CB" w:rsidP="003C66CB">
            <w:r w:rsidRPr="00573CBA">
              <w:t>Bangladeshi</w:t>
            </w:r>
          </w:p>
        </w:tc>
        <w:tc>
          <w:tcPr>
            <w:tcW w:w="1191" w:type="dxa"/>
            <w:gridSpan w:val="2"/>
            <w:vAlign w:val="center"/>
          </w:tcPr>
          <w:p w14:paraId="0DB8F458" w14:textId="3CC580E4" w:rsidR="003C66CB" w:rsidRDefault="003C66CB" w:rsidP="003C66CB">
            <w:pPr>
              <w:jc w:val="right"/>
            </w:pPr>
            <w:r w:rsidRPr="00B30D29">
              <w:t>8.0</w:t>
            </w:r>
          </w:p>
        </w:tc>
        <w:tc>
          <w:tcPr>
            <w:tcW w:w="964" w:type="dxa"/>
            <w:gridSpan w:val="2"/>
            <w:vAlign w:val="center"/>
          </w:tcPr>
          <w:p w14:paraId="0B828A12" w14:textId="79AC2594" w:rsidR="003C66CB" w:rsidRDefault="003C66CB" w:rsidP="003C66CB">
            <w:pPr>
              <w:jc w:val="right"/>
            </w:pPr>
            <w:r w:rsidRPr="007E56E0">
              <w:t>34%</w:t>
            </w:r>
          </w:p>
        </w:tc>
        <w:tc>
          <w:tcPr>
            <w:tcW w:w="964" w:type="dxa"/>
            <w:gridSpan w:val="2"/>
            <w:vAlign w:val="center"/>
          </w:tcPr>
          <w:p w14:paraId="29F78D90" w14:textId="67D6FC39" w:rsidR="003C66CB" w:rsidRDefault="003C66CB" w:rsidP="003C66CB">
            <w:pPr>
              <w:jc w:val="right"/>
            </w:pPr>
            <w:r w:rsidRPr="007E56E0">
              <w:t>14%</w:t>
            </w:r>
          </w:p>
        </w:tc>
        <w:tc>
          <w:tcPr>
            <w:tcW w:w="964" w:type="dxa"/>
            <w:gridSpan w:val="2"/>
            <w:vAlign w:val="center"/>
          </w:tcPr>
          <w:p w14:paraId="18FE898F" w14:textId="631296F8" w:rsidR="003C66CB" w:rsidRDefault="003C66CB" w:rsidP="003C66CB">
            <w:pPr>
              <w:jc w:val="right"/>
            </w:pPr>
            <w:r w:rsidRPr="007E56E0">
              <w:t>14%</w:t>
            </w:r>
          </w:p>
        </w:tc>
        <w:tc>
          <w:tcPr>
            <w:tcW w:w="964" w:type="dxa"/>
            <w:gridSpan w:val="2"/>
            <w:vAlign w:val="center"/>
          </w:tcPr>
          <w:p w14:paraId="77EFE7EC" w14:textId="5742C70D" w:rsidR="003C66CB" w:rsidRDefault="003C66CB" w:rsidP="003C66CB">
            <w:pPr>
              <w:jc w:val="right"/>
            </w:pPr>
            <w:r w:rsidRPr="007E56E0">
              <w:t>17%</w:t>
            </w:r>
          </w:p>
        </w:tc>
        <w:tc>
          <w:tcPr>
            <w:tcW w:w="964" w:type="dxa"/>
            <w:gridSpan w:val="2"/>
            <w:vAlign w:val="center"/>
          </w:tcPr>
          <w:p w14:paraId="49A132AF" w14:textId="6F14B397" w:rsidR="003C66CB" w:rsidRDefault="003C66CB" w:rsidP="003C66CB">
            <w:pPr>
              <w:jc w:val="right"/>
            </w:pPr>
            <w:r w:rsidRPr="007E56E0">
              <w:t>22%</w:t>
            </w:r>
          </w:p>
        </w:tc>
      </w:tr>
      <w:tr w:rsidR="003C66CB" w14:paraId="42370443" w14:textId="77777777" w:rsidTr="003C66CB">
        <w:trPr>
          <w:gridAfter w:val="1"/>
          <w:wAfter w:w="56" w:type="dxa"/>
          <w:trHeight w:val="312"/>
        </w:trPr>
        <w:tc>
          <w:tcPr>
            <w:tcW w:w="3175" w:type="dxa"/>
          </w:tcPr>
          <w:p w14:paraId="63B4E786" w14:textId="4F990D5B" w:rsidR="003C66CB" w:rsidRDefault="003C66CB" w:rsidP="003C66CB">
            <w:r w:rsidRPr="00573CBA">
              <w:t>Other</w:t>
            </w:r>
          </w:p>
        </w:tc>
        <w:tc>
          <w:tcPr>
            <w:tcW w:w="1191" w:type="dxa"/>
            <w:gridSpan w:val="2"/>
            <w:vAlign w:val="center"/>
          </w:tcPr>
          <w:p w14:paraId="2E22EFD9" w14:textId="7BBACD6B" w:rsidR="003C66CB" w:rsidRDefault="003C66CB" w:rsidP="003C66CB">
            <w:pPr>
              <w:jc w:val="right"/>
            </w:pPr>
            <w:r w:rsidRPr="00B30D29">
              <w:t>7.8</w:t>
            </w:r>
          </w:p>
        </w:tc>
        <w:tc>
          <w:tcPr>
            <w:tcW w:w="964" w:type="dxa"/>
            <w:gridSpan w:val="2"/>
            <w:vAlign w:val="center"/>
          </w:tcPr>
          <w:p w14:paraId="0D582E74" w14:textId="492F2895" w:rsidR="003C66CB" w:rsidRDefault="003C66CB" w:rsidP="003C66CB">
            <w:pPr>
              <w:jc w:val="right"/>
            </w:pPr>
            <w:r w:rsidRPr="007E56E0">
              <w:t>48%</w:t>
            </w:r>
          </w:p>
        </w:tc>
        <w:tc>
          <w:tcPr>
            <w:tcW w:w="964" w:type="dxa"/>
            <w:gridSpan w:val="2"/>
            <w:vAlign w:val="center"/>
          </w:tcPr>
          <w:p w14:paraId="0AFACAB9" w14:textId="5094417A" w:rsidR="003C66CB" w:rsidRDefault="003C66CB" w:rsidP="003C66CB">
            <w:pPr>
              <w:jc w:val="right"/>
            </w:pPr>
            <w:r w:rsidRPr="007E56E0">
              <w:t>8%</w:t>
            </w:r>
          </w:p>
        </w:tc>
        <w:tc>
          <w:tcPr>
            <w:tcW w:w="964" w:type="dxa"/>
            <w:gridSpan w:val="2"/>
            <w:vAlign w:val="center"/>
          </w:tcPr>
          <w:p w14:paraId="523FBF9F" w14:textId="4DACA43A" w:rsidR="003C66CB" w:rsidRDefault="003C66CB" w:rsidP="003C66CB">
            <w:pPr>
              <w:jc w:val="right"/>
            </w:pPr>
            <w:r w:rsidRPr="007E56E0">
              <w:t>11%</w:t>
            </w:r>
          </w:p>
        </w:tc>
        <w:tc>
          <w:tcPr>
            <w:tcW w:w="964" w:type="dxa"/>
            <w:gridSpan w:val="2"/>
            <w:vAlign w:val="center"/>
          </w:tcPr>
          <w:p w14:paraId="72A71B3D" w14:textId="73A3B0DB" w:rsidR="003C66CB" w:rsidRDefault="003C66CB" w:rsidP="003C66CB">
            <w:pPr>
              <w:jc w:val="right"/>
            </w:pPr>
            <w:r w:rsidRPr="007E56E0">
              <w:t>13%</w:t>
            </w:r>
          </w:p>
        </w:tc>
        <w:tc>
          <w:tcPr>
            <w:tcW w:w="964" w:type="dxa"/>
            <w:gridSpan w:val="2"/>
            <w:vAlign w:val="center"/>
          </w:tcPr>
          <w:p w14:paraId="0FCCE342" w14:textId="39590979" w:rsidR="003C66CB" w:rsidRDefault="003C66CB" w:rsidP="003C66CB">
            <w:pPr>
              <w:jc w:val="right"/>
            </w:pPr>
            <w:r w:rsidRPr="007E56E0">
              <w:t>20%</w:t>
            </w:r>
          </w:p>
        </w:tc>
      </w:tr>
      <w:tr w:rsidR="003C66CB" w14:paraId="27D6A6E0" w14:textId="77777777" w:rsidTr="003C66CB">
        <w:trPr>
          <w:gridAfter w:val="1"/>
          <w:wAfter w:w="56" w:type="dxa"/>
          <w:trHeight w:val="312"/>
        </w:trPr>
        <w:tc>
          <w:tcPr>
            <w:tcW w:w="3175" w:type="dxa"/>
          </w:tcPr>
          <w:p w14:paraId="53AB5B66" w14:textId="3DA23A2B" w:rsidR="003C66CB" w:rsidRDefault="003C66CB" w:rsidP="003C66CB">
            <w:r w:rsidRPr="00573CBA">
              <w:t>Other Black</w:t>
            </w:r>
          </w:p>
        </w:tc>
        <w:tc>
          <w:tcPr>
            <w:tcW w:w="1191" w:type="dxa"/>
            <w:gridSpan w:val="2"/>
            <w:vAlign w:val="center"/>
          </w:tcPr>
          <w:p w14:paraId="6FDE48D2" w14:textId="47D8CEEC" w:rsidR="003C66CB" w:rsidRDefault="003C66CB" w:rsidP="003C66CB">
            <w:pPr>
              <w:jc w:val="right"/>
            </w:pPr>
            <w:r w:rsidRPr="00B30D29">
              <w:t>3.1</w:t>
            </w:r>
          </w:p>
        </w:tc>
        <w:tc>
          <w:tcPr>
            <w:tcW w:w="964" w:type="dxa"/>
            <w:gridSpan w:val="2"/>
            <w:vAlign w:val="center"/>
          </w:tcPr>
          <w:p w14:paraId="3D9C884A" w14:textId="044AB12E" w:rsidR="003C66CB" w:rsidRDefault="003C66CB" w:rsidP="003C66CB">
            <w:pPr>
              <w:jc w:val="right"/>
            </w:pPr>
            <w:r w:rsidRPr="007E56E0">
              <w:t>41%</w:t>
            </w:r>
          </w:p>
        </w:tc>
        <w:tc>
          <w:tcPr>
            <w:tcW w:w="964" w:type="dxa"/>
            <w:gridSpan w:val="2"/>
            <w:vAlign w:val="center"/>
          </w:tcPr>
          <w:p w14:paraId="39255D38" w14:textId="6A50E869" w:rsidR="003C66CB" w:rsidRDefault="003C66CB" w:rsidP="003C66CB">
            <w:pPr>
              <w:jc w:val="right"/>
            </w:pPr>
            <w:r w:rsidRPr="007E56E0">
              <w:t>11%</w:t>
            </w:r>
          </w:p>
        </w:tc>
        <w:tc>
          <w:tcPr>
            <w:tcW w:w="964" w:type="dxa"/>
            <w:gridSpan w:val="2"/>
            <w:vAlign w:val="center"/>
          </w:tcPr>
          <w:p w14:paraId="6975FB1E" w14:textId="046905B5" w:rsidR="003C66CB" w:rsidRDefault="003C66CB" w:rsidP="003C66CB">
            <w:pPr>
              <w:jc w:val="right"/>
            </w:pPr>
            <w:r w:rsidRPr="007E56E0">
              <w:t>13%</w:t>
            </w:r>
          </w:p>
        </w:tc>
        <w:tc>
          <w:tcPr>
            <w:tcW w:w="964" w:type="dxa"/>
            <w:gridSpan w:val="2"/>
            <w:vAlign w:val="center"/>
          </w:tcPr>
          <w:p w14:paraId="6E2F9C91" w14:textId="1C475A22" w:rsidR="003C66CB" w:rsidRDefault="003C66CB" w:rsidP="003C66CB">
            <w:pPr>
              <w:jc w:val="right"/>
            </w:pPr>
            <w:r w:rsidRPr="007E56E0">
              <w:t>17%</w:t>
            </w:r>
          </w:p>
        </w:tc>
        <w:tc>
          <w:tcPr>
            <w:tcW w:w="964" w:type="dxa"/>
            <w:gridSpan w:val="2"/>
            <w:vAlign w:val="center"/>
          </w:tcPr>
          <w:p w14:paraId="33964B61" w14:textId="1F36BD6B" w:rsidR="003C66CB" w:rsidRDefault="003C66CB" w:rsidP="003C66CB">
            <w:pPr>
              <w:jc w:val="right"/>
            </w:pPr>
            <w:r w:rsidRPr="007E56E0">
              <w:t>19%</w:t>
            </w:r>
          </w:p>
        </w:tc>
      </w:tr>
      <w:tr w:rsidR="003C66CB" w14:paraId="3FFC2057" w14:textId="77777777" w:rsidTr="003C66CB">
        <w:trPr>
          <w:gridAfter w:val="1"/>
          <w:wAfter w:w="56" w:type="dxa"/>
          <w:trHeight w:val="312"/>
        </w:trPr>
        <w:tc>
          <w:tcPr>
            <w:tcW w:w="3175" w:type="dxa"/>
          </w:tcPr>
          <w:p w14:paraId="70CCA2A8" w14:textId="139E62DC" w:rsidR="003C66CB" w:rsidRDefault="003C66CB" w:rsidP="003C66CB">
            <w:r w:rsidRPr="00573CBA">
              <w:t>Mixed White/Black Caribbean</w:t>
            </w:r>
          </w:p>
        </w:tc>
        <w:tc>
          <w:tcPr>
            <w:tcW w:w="1191" w:type="dxa"/>
            <w:gridSpan w:val="2"/>
            <w:vAlign w:val="center"/>
          </w:tcPr>
          <w:p w14:paraId="75890B94" w14:textId="4FD5A9ED" w:rsidR="003C66CB" w:rsidRDefault="003C66CB" w:rsidP="003C66CB">
            <w:pPr>
              <w:jc w:val="right"/>
            </w:pPr>
            <w:r w:rsidRPr="00B30D29">
              <w:t>7.6</w:t>
            </w:r>
          </w:p>
        </w:tc>
        <w:tc>
          <w:tcPr>
            <w:tcW w:w="964" w:type="dxa"/>
            <w:gridSpan w:val="2"/>
            <w:vAlign w:val="center"/>
          </w:tcPr>
          <w:p w14:paraId="258E130B" w14:textId="29F83659" w:rsidR="003C66CB" w:rsidRDefault="003C66CB" w:rsidP="003C66CB">
            <w:pPr>
              <w:jc w:val="right"/>
            </w:pPr>
            <w:r w:rsidRPr="007E56E0">
              <w:t>44%</w:t>
            </w:r>
          </w:p>
        </w:tc>
        <w:tc>
          <w:tcPr>
            <w:tcW w:w="964" w:type="dxa"/>
            <w:gridSpan w:val="2"/>
            <w:vAlign w:val="center"/>
          </w:tcPr>
          <w:p w14:paraId="567D6496" w14:textId="4FDCB4AE" w:rsidR="003C66CB" w:rsidRDefault="003C66CB" w:rsidP="003C66CB">
            <w:pPr>
              <w:jc w:val="right"/>
            </w:pPr>
            <w:r w:rsidRPr="007E56E0">
              <w:t>11%</w:t>
            </w:r>
          </w:p>
        </w:tc>
        <w:tc>
          <w:tcPr>
            <w:tcW w:w="964" w:type="dxa"/>
            <w:gridSpan w:val="2"/>
            <w:vAlign w:val="center"/>
          </w:tcPr>
          <w:p w14:paraId="2388B54C" w14:textId="30BC2F54" w:rsidR="003C66CB" w:rsidRDefault="003C66CB" w:rsidP="003C66CB">
            <w:pPr>
              <w:jc w:val="right"/>
            </w:pPr>
            <w:r w:rsidRPr="007E56E0">
              <w:t>13%</w:t>
            </w:r>
          </w:p>
        </w:tc>
        <w:tc>
          <w:tcPr>
            <w:tcW w:w="964" w:type="dxa"/>
            <w:gridSpan w:val="2"/>
            <w:vAlign w:val="center"/>
          </w:tcPr>
          <w:p w14:paraId="4E9FE02D" w14:textId="7938FC18" w:rsidR="003C66CB" w:rsidRDefault="003C66CB" w:rsidP="003C66CB">
            <w:pPr>
              <w:jc w:val="right"/>
            </w:pPr>
            <w:r w:rsidRPr="007E56E0">
              <w:t>16%</w:t>
            </w:r>
          </w:p>
        </w:tc>
        <w:tc>
          <w:tcPr>
            <w:tcW w:w="964" w:type="dxa"/>
            <w:gridSpan w:val="2"/>
            <w:vAlign w:val="center"/>
          </w:tcPr>
          <w:p w14:paraId="666807B2" w14:textId="2B82B89F" w:rsidR="003C66CB" w:rsidRDefault="003C66CB" w:rsidP="003C66CB">
            <w:pPr>
              <w:jc w:val="right"/>
            </w:pPr>
            <w:r w:rsidRPr="007E56E0">
              <w:t>16%</w:t>
            </w:r>
          </w:p>
        </w:tc>
      </w:tr>
      <w:tr w:rsidR="003C66CB" w14:paraId="67095A85" w14:textId="77777777" w:rsidTr="003C66CB">
        <w:trPr>
          <w:gridAfter w:val="1"/>
          <w:wAfter w:w="56" w:type="dxa"/>
          <w:trHeight w:val="312"/>
        </w:trPr>
        <w:tc>
          <w:tcPr>
            <w:tcW w:w="3175" w:type="dxa"/>
          </w:tcPr>
          <w:p w14:paraId="467179EE" w14:textId="3E43403A" w:rsidR="003C66CB" w:rsidRDefault="003C66CB" w:rsidP="003C66CB">
            <w:r w:rsidRPr="00573CBA">
              <w:t>Pakistani</w:t>
            </w:r>
          </w:p>
        </w:tc>
        <w:tc>
          <w:tcPr>
            <w:tcW w:w="1191" w:type="dxa"/>
            <w:gridSpan w:val="2"/>
            <w:vAlign w:val="center"/>
          </w:tcPr>
          <w:p w14:paraId="0A5F6E84" w14:textId="2E5C143F" w:rsidR="003C66CB" w:rsidRDefault="003C66CB" w:rsidP="003C66CB">
            <w:pPr>
              <w:jc w:val="right"/>
            </w:pPr>
            <w:r w:rsidRPr="00B30D29">
              <w:t>18.6</w:t>
            </w:r>
          </w:p>
        </w:tc>
        <w:tc>
          <w:tcPr>
            <w:tcW w:w="964" w:type="dxa"/>
            <w:gridSpan w:val="2"/>
            <w:vAlign w:val="center"/>
          </w:tcPr>
          <w:p w14:paraId="0A1F6345" w14:textId="57B70F22" w:rsidR="003C66CB" w:rsidRDefault="003C66CB" w:rsidP="003C66CB">
            <w:pPr>
              <w:jc w:val="right"/>
            </w:pPr>
            <w:r w:rsidRPr="007E56E0">
              <w:t>47%</w:t>
            </w:r>
          </w:p>
        </w:tc>
        <w:tc>
          <w:tcPr>
            <w:tcW w:w="964" w:type="dxa"/>
            <w:gridSpan w:val="2"/>
            <w:vAlign w:val="center"/>
          </w:tcPr>
          <w:p w14:paraId="71301313" w14:textId="4FEE3F00" w:rsidR="003C66CB" w:rsidRDefault="003C66CB" w:rsidP="003C66CB">
            <w:pPr>
              <w:jc w:val="right"/>
            </w:pPr>
            <w:r w:rsidRPr="007E56E0">
              <w:t>13%</w:t>
            </w:r>
          </w:p>
        </w:tc>
        <w:tc>
          <w:tcPr>
            <w:tcW w:w="964" w:type="dxa"/>
            <w:gridSpan w:val="2"/>
            <w:vAlign w:val="center"/>
          </w:tcPr>
          <w:p w14:paraId="5C58A4E7" w14:textId="7D2D8675" w:rsidR="003C66CB" w:rsidRDefault="003C66CB" w:rsidP="003C66CB">
            <w:pPr>
              <w:jc w:val="right"/>
            </w:pPr>
            <w:r w:rsidRPr="007E56E0">
              <w:t>12%</w:t>
            </w:r>
          </w:p>
        </w:tc>
        <w:tc>
          <w:tcPr>
            <w:tcW w:w="964" w:type="dxa"/>
            <w:gridSpan w:val="2"/>
            <w:vAlign w:val="center"/>
          </w:tcPr>
          <w:p w14:paraId="4FBB2C6D" w14:textId="5B3890B8" w:rsidR="003C66CB" w:rsidRDefault="003C66CB" w:rsidP="003C66CB">
            <w:pPr>
              <w:jc w:val="right"/>
            </w:pPr>
            <w:r w:rsidRPr="007E56E0">
              <w:t>12%</w:t>
            </w:r>
          </w:p>
        </w:tc>
        <w:tc>
          <w:tcPr>
            <w:tcW w:w="964" w:type="dxa"/>
            <w:gridSpan w:val="2"/>
            <w:vAlign w:val="center"/>
          </w:tcPr>
          <w:p w14:paraId="5AA42AC3" w14:textId="4D015B71" w:rsidR="003C66CB" w:rsidRDefault="003C66CB" w:rsidP="003C66CB">
            <w:pPr>
              <w:jc w:val="right"/>
            </w:pPr>
            <w:r w:rsidRPr="007E56E0">
              <w:t>16%</w:t>
            </w:r>
          </w:p>
        </w:tc>
      </w:tr>
      <w:tr w:rsidR="003C66CB" w14:paraId="518E1D11" w14:textId="77777777" w:rsidTr="003C66CB">
        <w:trPr>
          <w:gridAfter w:val="1"/>
          <w:wAfter w:w="56" w:type="dxa"/>
          <w:trHeight w:val="312"/>
        </w:trPr>
        <w:tc>
          <w:tcPr>
            <w:tcW w:w="3175" w:type="dxa"/>
          </w:tcPr>
          <w:p w14:paraId="6CE29ECB" w14:textId="3503D4A7" w:rsidR="003C66CB" w:rsidRDefault="003C66CB" w:rsidP="003C66CB">
            <w:r w:rsidRPr="00573CBA">
              <w:t>Black Caribbean</w:t>
            </w:r>
          </w:p>
        </w:tc>
        <w:tc>
          <w:tcPr>
            <w:tcW w:w="1191" w:type="dxa"/>
            <w:gridSpan w:val="2"/>
            <w:vAlign w:val="center"/>
          </w:tcPr>
          <w:p w14:paraId="4CF2C2F6" w14:textId="0D6FF134" w:rsidR="003C66CB" w:rsidRDefault="003C66CB" w:rsidP="003C66CB">
            <w:pPr>
              <w:jc w:val="right"/>
            </w:pPr>
            <w:r w:rsidRPr="00B30D29">
              <w:t>8.6</w:t>
            </w:r>
          </w:p>
        </w:tc>
        <w:tc>
          <w:tcPr>
            <w:tcW w:w="964" w:type="dxa"/>
            <w:gridSpan w:val="2"/>
            <w:vAlign w:val="center"/>
          </w:tcPr>
          <w:p w14:paraId="182E42E4" w14:textId="3B51FE9D" w:rsidR="003C66CB" w:rsidRDefault="003C66CB" w:rsidP="003C66CB">
            <w:pPr>
              <w:jc w:val="right"/>
            </w:pPr>
            <w:r w:rsidRPr="007E56E0">
              <w:t>46%</w:t>
            </w:r>
          </w:p>
        </w:tc>
        <w:tc>
          <w:tcPr>
            <w:tcW w:w="964" w:type="dxa"/>
            <w:gridSpan w:val="2"/>
            <w:vAlign w:val="center"/>
          </w:tcPr>
          <w:p w14:paraId="41C8F168" w14:textId="7AF357E6" w:rsidR="003C66CB" w:rsidRDefault="003C66CB" w:rsidP="003C66CB">
            <w:pPr>
              <w:jc w:val="right"/>
            </w:pPr>
            <w:r w:rsidRPr="007E56E0">
              <w:t>14%</w:t>
            </w:r>
          </w:p>
        </w:tc>
        <w:tc>
          <w:tcPr>
            <w:tcW w:w="964" w:type="dxa"/>
            <w:gridSpan w:val="2"/>
            <w:vAlign w:val="center"/>
          </w:tcPr>
          <w:p w14:paraId="54E1EEAF" w14:textId="1E87E33B" w:rsidR="003C66CB" w:rsidRDefault="003C66CB" w:rsidP="003C66CB">
            <w:pPr>
              <w:jc w:val="right"/>
            </w:pPr>
            <w:r w:rsidRPr="007E56E0">
              <w:t>13%</w:t>
            </w:r>
          </w:p>
        </w:tc>
        <w:tc>
          <w:tcPr>
            <w:tcW w:w="964" w:type="dxa"/>
            <w:gridSpan w:val="2"/>
            <w:vAlign w:val="center"/>
          </w:tcPr>
          <w:p w14:paraId="7A8E897C" w14:textId="4FA41856" w:rsidR="003C66CB" w:rsidRDefault="003C66CB" w:rsidP="003C66CB">
            <w:pPr>
              <w:jc w:val="right"/>
            </w:pPr>
            <w:r w:rsidRPr="007E56E0">
              <w:t>14%</w:t>
            </w:r>
          </w:p>
        </w:tc>
        <w:tc>
          <w:tcPr>
            <w:tcW w:w="964" w:type="dxa"/>
            <w:gridSpan w:val="2"/>
            <w:vAlign w:val="center"/>
          </w:tcPr>
          <w:p w14:paraId="493D590D" w14:textId="5E7330DB" w:rsidR="003C66CB" w:rsidRDefault="003C66CB" w:rsidP="003C66CB">
            <w:pPr>
              <w:jc w:val="right"/>
            </w:pPr>
            <w:r w:rsidRPr="007E56E0">
              <w:t>13%</w:t>
            </w:r>
          </w:p>
        </w:tc>
      </w:tr>
      <w:tr w:rsidR="003C66CB" w14:paraId="0A09841F" w14:textId="77777777" w:rsidTr="003C66CB">
        <w:trPr>
          <w:gridAfter w:val="1"/>
          <w:wAfter w:w="56" w:type="dxa"/>
          <w:trHeight w:val="312"/>
        </w:trPr>
        <w:tc>
          <w:tcPr>
            <w:tcW w:w="3175" w:type="dxa"/>
          </w:tcPr>
          <w:p w14:paraId="53FDEABE" w14:textId="6F01CD80" w:rsidR="003C66CB" w:rsidRDefault="003C66CB" w:rsidP="003C66CB">
            <w:r w:rsidRPr="00573CBA">
              <w:t>Mixed White/Black African</w:t>
            </w:r>
          </w:p>
        </w:tc>
        <w:tc>
          <w:tcPr>
            <w:tcW w:w="1191" w:type="dxa"/>
            <w:gridSpan w:val="2"/>
            <w:vAlign w:val="center"/>
          </w:tcPr>
          <w:p w14:paraId="4F23657F" w14:textId="7E90359E" w:rsidR="003C66CB" w:rsidRDefault="003C66CB" w:rsidP="003C66CB">
            <w:pPr>
              <w:jc w:val="right"/>
            </w:pPr>
            <w:r w:rsidRPr="00B30D29">
              <w:t>2.5</w:t>
            </w:r>
          </w:p>
        </w:tc>
        <w:tc>
          <w:tcPr>
            <w:tcW w:w="964" w:type="dxa"/>
            <w:gridSpan w:val="2"/>
            <w:vAlign w:val="center"/>
          </w:tcPr>
          <w:p w14:paraId="1BF99740" w14:textId="46407ADB" w:rsidR="003C66CB" w:rsidRDefault="003C66CB" w:rsidP="003C66CB">
            <w:pPr>
              <w:jc w:val="right"/>
            </w:pPr>
            <w:r w:rsidRPr="007E56E0">
              <w:t>52%</w:t>
            </w:r>
          </w:p>
        </w:tc>
        <w:tc>
          <w:tcPr>
            <w:tcW w:w="964" w:type="dxa"/>
            <w:gridSpan w:val="2"/>
            <w:vAlign w:val="center"/>
          </w:tcPr>
          <w:p w14:paraId="512C2B1F" w14:textId="08AD7BEA" w:rsidR="003C66CB" w:rsidRDefault="003C66CB" w:rsidP="003C66CB">
            <w:pPr>
              <w:jc w:val="right"/>
            </w:pPr>
            <w:r w:rsidRPr="007E56E0">
              <w:t>10%</w:t>
            </w:r>
          </w:p>
        </w:tc>
        <w:tc>
          <w:tcPr>
            <w:tcW w:w="964" w:type="dxa"/>
            <w:gridSpan w:val="2"/>
            <w:vAlign w:val="center"/>
          </w:tcPr>
          <w:p w14:paraId="267F18EF" w14:textId="3C0648AD" w:rsidR="003C66CB" w:rsidRDefault="003C66CB" w:rsidP="003C66CB">
            <w:pPr>
              <w:jc w:val="right"/>
            </w:pPr>
            <w:r w:rsidRPr="007E56E0">
              <w:t>11%</w:t>
            </w:r>
          </w:p>
        </w:tc>
        <w:tc>
          <w:tcPr>
            <w:tcW w:w="964" w:type="dxa"/>
            <w:gridSpan w:val="2"/>
            <w:vAlign w:val="center"/>
          </w:tcPr>
          <w:p w14:paraId="74EC460A" w14:textId="348FABEF" w:rsidR="003C66CB" w:rsidRDefault="003C66CB" w:rsidP="003C66CB">
            <w:pPr>
              <w:jc w:val="right"/>
            </w:pPr>
            <w:r w:rsidRPr="007E56E0">
              <w:t>14%</w:t>
            </w:r>
          </w:p>
        </w:tc>
        <w:tc>
          <w:tcPr>
            <w:tcW w:w="964" w:type="dxa"/>
            <w:gridSpan w:val="2"/>
            <w:vAlign w:val="center"/>
          </w:tcPr>
          <w:p w14:paraId="2747D6D5" w14:textId="1F0E1C97" w:rsidR="003C66CB" w:rsidRDefault="003C66CB" w:rsidP="003C66CB">
            <w:pPr>
              <w:jc w:val="right"/>
            </w:pPr>
            <w:r w:rsidRPr="007E56E0">
              <w:t>13%</w:t>
            </w:r>
          </w:p>
        </w:tc>
      </w:tr>
      <w:tr w:rsidR="003C66CB" w14:paraId="4F933029" w14:textId="77777777" w:rsidTr="003C66CB">
        <w:trPr>
          <w:gridAfter w:val="1"/>
          <w:wAfter w:w="56" w:type="dxa"/>
          <w:trHeight w:val="312"/>
        </w:trPr>
        <w:tc>
          <w:tcPr>
            <w:tcW w:w="3175" w:type="dxa"/>
          </w:tcPr>
          <w:p w14:paraId="2A1E4B77" w14:textId="3335A89A" w:rsidR="003C66CB" w:rsidRDefault="003C66CB" w:rsidP="003C66CB">
            <w:r w:rsidRPr="00573CBA">
              <w:t>Other Mixed</w:t>
            </w:r>
          </w:p>
        </w:tc>
        <w:tc>
          <w:tcPr>
            <w:tcW w:w="1191" w:type="dxa"/>
            <w:gridSpan w:val="2"/>
            <w:vAlign w:val="center"/>
          </w:tcPr>
          <w:p w14:paraId="6741E287" w14:textId="48C78F8E" w:rsidR="003C66CB" w:rsidRDefault="003C66CB" w:rsidP="003C66CB">
            <w:pPr>
              <w:jc w:val="right"/>
            </w:pPr>
            <w:r w:rsidRPr="00B30D29">
              <w:t>7.7</w:t>
            </w:r>
          </w:p>
        </w:tc>
        <w:tc>
          <w:tcPr>
            <w:tcW w:w="964" w:type="dxa"/>
            <w:gridSpan w:val="2"/>
            <w:vAlign w:val="center"/>
          </w:tcPr>
          <w:p w14:paraId="659C4E20" w14:textId="66A588DC" w:rsidR="003C66CB" w:rsidRDefault="003C66CB" w:rsidP="003C66CB">
            <w:pPr>
              <w:jc w:val="right"/>
            </w:pPr>
            <w:r w:rsidRPr="007E56E0">
              <w:t>57%</w:t>
            </w:r>
          </w:p>
        </w:tc>
        <w:tc>
          <w:tcPr>
            <w:tcW w:w="964" w:type="dxa"/>
            <w:gridSpan w:val="2"/>
            <w:vAlign w:val="center"/>
          </w:tcPr>
          <w:p w14:paraId="386E0FD8" w14:textId="0EBBADED" w:rsidR="003C66CB" w:rsidRDefault="003C66CB" w:rsidP="003C66CB">
            <w:pPr>
              <w:jc w:val="right"/>
            </w:pPr>
            <w:r w:rsidRPr="007E56E0">
              <w:t>10%</w:t>
            </w:r>
          </w:p>
        </w:tc>
        <w:tc>
          <w:tcPr>
            <w:tcW w:w="964" w:type="dxa"/>
            <w:gridSpan w:val="2"/>
            <w:vAlign w:val="center"/>
          </w:tcPr>
          <w:p w14:paraId="7162B2B9" w14:textId="59180FBA" w:rsidR="003C66CB" w:rsidRDefault="003C66CB" w:rsidP="003C66CB">
            <w:pPr>
              <w:jc w:val="right"/>
            </w:pPr>
            <w:r w:rsidRPr="007E56E0">
              <w:t>10%</w:t>
            </w:r>
          </w:p>
        </w:tc>
        <w:tc>
          <w:tcPr>
            <w:tcW w:w="964" w:type="dxa"/>
            <w:gridSpan w:val="2"/>
            <w:vAlign w:val="center"/>
          </w:tcPr>
          <w:p w14:paraId="726F5A91" w14:textId="6BF2CE36" w:rsidR="003C66CB" w:rsidRDefault="003C66CB" w:rsidP="003C66CB">
            <w:pPr>
              <w:jc w:val="right"/>
            </w:pPr>
            <w:r w:rsidRPr="007E56E0">
              <w:t>12%</w:t>
            </w:r>
          </w:p>
        </w:tc>
        <w:tc>
          <w:tcPr>
            <w:tcW w:w="964" w:type="dxa"/>
            <w:gridSpan w:val="2"/>
            <w:vAlign w:val="center"/>
          </w:tcPr>
          <w:p w14:paraId="34F25427" w14:textId="46E87AD5" w:rsidR="003C66CB" w:rsidRDefault="003C66CB" w:rsidP="003C66CB">
            <w:pPr>
              <w:jc w:val="right"/>
            </w:pPr>
            <w:r w:rsidRPr="007E56E0">
              <w:t>11%</w:t>
            </w:r>
          </w:p>
        </w:tc>
      </w:tr>
      <w:tr w:rsidR="003C66CB" w14:paraId="2FAAB0B9" w14:textId="77777777" w:rsidTr="003C66CB">
        <w:trPr>
          <w:gridAfter w:val="1"/>
          <w:wAfter w:w="56" w:type="dxa"/>
          <w:trHeight w:val="312"/>
        </w:trPr>
        <w:tc>
          <w:tcPr>
            <w:tcW w:w="3175" w:type="dxa"/>
          </w:tcPr>
          <w:p w14:paraId="5CAB867C" w14:textId="2C91F496" w:rsidR="003C66CB" w:rsidRDefault="003C66CB" w:rsidP="003C66CB">
            <w:r w:rsidRPr="00573CBA">
              <w:t>White Irish</w:t>
            </w:r>
          </w:p>
        </w:tc>
        <w:tc>
          <w:tcPr>
            <w:tcW w:w="1191" w:type="dxa"/>
            <w:gridSpan w:val="2"/>
            <w:vAlign w:val="center"/>
          </w:tcPr>
          <w:p w14:paraId="3B532AF9" w14:textId="3074F93D" w:rsidR="003C66CB" w:rsidRDefault="003C66CB" w:rsidP="003C66CB">
            <w:pPr>
              <w:jc w:val="right"/>
            </w:pPr>
            <w:r w:rsidRPr="00B30D29">
              <w:t>2.1</w:t>
            </w:r>
          </w:p>
        </w:tc>
        <w:tc>
          <w:tcPr>
            <w:tcW w:w="964" w:type="dxa"/>
            <w:gridSpan w:val="2"/>
            <w:vAlign w:val="center"/>
          </w:tcPr>
          <w:p w14:paraId="00A469D4" w14:textId="73D1B548" w:rsidR="003C66CB" w:rsidRDefault="003C66CB" w:rsidP="003C66CB">
            <w:pPr>
              <w:jc w:val="right"/>
            </w:pPr>
            <w:r w:rsidRPr="007E56E0">
              <w:t>68%</w:t>
            </w:r>
          </w:p>
        </w:tc>
        <w:tc>
          <w:tcPr>
            <w:tcW w:w="964" w:type="dxa"/>
            <w:gridSpan w:val="2"/>
            <w:vAlign w:val="center"/>
          </w:tcPr>
          <w:p w14:paraId="3E7C958D" w14:textId="45541901" w:rsidR="003C66CB" w:rsidRDefault="003C66CB" w:rsidP="003C66CB">
            <w:pPr>
              <w:jc w:val="right"/>
            </w:pPr>
            <w:r w:rsidRPr="007E56E0">
              <w:t>7%</w:t>
            </w:r>
          </w:p>
        </w:tc>
        <w:tc>
          <w:tcPr>
            <w:tcW w:w="964" w:type="dxa"/>
            <w:gridSpan w:val="2"/>
            <w:vAlign w:val="center"/>
          </w:tcPr>
          <w:p w14:paraId="4C820A28" w14:textId="0758F3F1" w:rsidR="003C66CB" w:rsidRDefault="003C66CB" w:rsidP="003C66CB">
            <w:pPr>
              <w:jc w:val="right"/>
            </w:pPr>
            <w:r w:rsidRPr="007E56E0">
              <w:t>6%</w:t>
            </w:r>
          </w:p>
        </w:tc>
        <w:tc>
          <w:tcPr>
            <w:tcW w:w="964" w:type="dxa"/>
            <w:gridSpan w:val="2"/>
            <w:vAlign w:val="center"/>
          </w:tcPr>
          <w:p w14:paraId="33CC6DDC" w14:textId="75981289" w:rsidR="003C66CB" w:rsidRDefault="003C66CB" w:rsidP="003C66CB">
            <w:pPr>
              <w:jc w:val="right"/>
            </w:pPr>
            <w:r w:rsidRPr="007E56E0">
              <w:t>7%</w:t>
            </w:r>
          </w:p>
        </w:tc>
        <w:tc>
          <w:tcPr>
            <w:tcW w:w="964" w:type="dxa"/>
            <w:gridSpan w:val="2"/>
            <w:vAlign w:val="center"/>
          </w:tcPr>
          <w:p w14:paraId="449F55C8" w14:textId="75516F46" w:rsidR="003C66CB" w:rsidRDefault="003C66CB" w:rsidP="003C66CB">
            <w:pPr>
              <w:jc w:val="right"/>
            </w:pPr>
            <w:r w:rsidRPr="007E56E0">
              <w:t>11%</w:t>
            </w:r>
          </w:p>
        </w:tc>
      </w:tr>
      <w:tr w:rsidR="003C66CB" w14:paraId="329298C7" w14:textId="77777777" w:rsidTr="003C66CB">
        <w:trPr>
          <w:gridAfter w:val="1"/>
          <w:wAfter w:w="56" w:type="dxa"/>
          <w:trHeight w:val="312"/>
        </w:trPr>
        <w:tc>
          <w:tcPr>
            <w:tcW w:w="3175" w:type="dxa"/>
          </w:tcPr>
          <w:p w14:paraId="424A8598" w14:textId="7660F3C2" w:rsidR="003C66CB" w:rsidRDefault="003C66CB" w:rsidP="003C66CB">
            <w:r w:rsidRPr="00573CBA">
              <w:t>Mixed White/Asian</w:t>
            </w:r>
          </w:p>
        </w:tc>
        <w:tc>
          <w:tcPr>
            <w:tcW w:w="1191" w:type="dxa"/>
            <w:gridSpan w:val="2"/>
            <w:vAlign w:val="center"/>
          </w:tcPr>
          <w:p w14:paraId="3FF3F0A2" w14:textId="620EF3D4" w:rsidR="003C66CB" w:rsidRDefault="003C66CB" w:rsidP="003C66CB">
            <w:pPr>
              <w:jc w:val="right"/>
            </w:pPr>
            <w:r w:rsidRPr="00B30D29">
              <w:t>4.6</w:t>
            </w:r>
          </w:p>
        </w:tc>
        <w:tc>
          <w:tcPr>
            <w:tcW w:w="964" w:type="dxa"/>
            <w:gridSpan w:val="2"/>
            <w:vAlign w:val="center"/>
          </w:tcPr>
          <w:p w14:paraId="0C635D95" w14:textId="7B07D537" w:rsidR="003C66CB" w:rsidRDefault="003C66CB" w:rsidP="003C66CB">
            <w:pPr>
              <w:jc w:val="right"/>
            </w:pPr>
            <w:r w:rsidRPr="007E56E0">
              <w:t>64%</w:t>
            </w:r>
          </w:p>
        </w:tc>
        <w:tc>
          <w:tcPr>
            <w:tcW w:w="964" w:type="dxa"/>
            <w:gridSpan w:val="2"/>
            <w:vAlign w:val="center"/>
          </w:tcPr>
          <w:p w14:paraId="5B09D1BA" w14:textId="64164F06" w:rsidR="003C66CB" w:rsidRDefault="003C66CB" w:rsidP="003C66CB">
            <w:pPr>
              <w:jc w:val="right"/>
            </w:pPr>
            <w:r w:rsidRPr="007E56E0">
              <w:t>9%</w:t>
            </w:r>
          </w:p>
        </w:tc>
        <w:tc>
          <w:tcPr>
            <w:tcW w:w="964" w:type="dxa"/>
            <w:gridSpan w:val="2"/>
            <w:vAlign w:val="center"/>
          </w:tcPr>
          <w:p w14:paraId="22BFBA0B" w14:textId="7DB01B71" w:rsidR="003C66CB" w:rsidRDefault="003C66CB" w:rsidP="003C66CB">
            <w:pPr>
              <w:jc w:val="right"/>
            </w:pPr>
            <w:r w:rsidRPr="007E56E0">
              <w:t>8%</w:t>
            </w:r>
          </w:p>
        </w:tc>
        <w:tc>
          <w:tcPr>
            <w:tcW w:w="964" w:type="dxa"/>
            <w:gridSpan w:val="2"/>
            <w:vAlign w:val="center"/>
          </w:tcPr>
          <w:p w14:paraId="3050F9EF" w14:textId="4048427B" w:rsidR="003C66CB" w:rsidRDefault="003C66CB" w:rsidP="003C66CB">
            <w:pPr>
              <w:jc w:val="right"/>
            </w:pPr>
            <w:r w:rsidRPr="007E56E0">
              <w:t>10%</w:t>
            </w:r>
          </w:p>
        </w:tc>
        <w:tc>
          <w:tcPr>
            <w:tcW w:w="964" w:type="dxa"/>
            <w:gridSpan w:val="2"/>
            <w:vAlign w:val="center"/>
          </w:tcPr>
          <w:p w14:paraId="2D9119AC" w14:textId="26AFE25E" w:rsidR="003C66CB" w:rsidRDefault="003C66CB" w:rsidP="003C66CB">
            <w:pPr>
              <w:jc w:val="right"/>
            </w:pPr>
            <w:r w:rsidRPr="007E56E0">
              <w:t>9%</w:t>
            </w:r>
          </w:p>
        </w:tc>
      </w:tr>
      <w:tr w:rsidR="003C66CB" w14:paraId="59E5D4B9" w14:textId="77777777" w:rsidTr="003C66CB">
        <w:trPr>
          <w:gridAfter w:val="1"/>
          <w:wAfter w:w="56" w:type="dxa"/>
          <w:trHeight w:val="312"/>
        </w:trPr>
        <w:tc>
          <w:tcPr>
            <w:tcW w:w="3175" w:type="dxa"/>
          </w:tcPr>
          <w:p w14:paraId="3CFBD419" w14:textId="00744E72" w:rsidR="003C66CB" w:rsidRDefault="003C66CB" w:rsidP="003C66CB">
            <w:r w:rsidRPr="00573CBA">
              <w:t>Not obtained</w:t>
            </w:r>
          </w:p>
        </w:tc>
        <w:tc>
          <w:tcPr>
            <w:tcW w:w="1191" w:type="dxa"/>
            <w:gridSpan w:val="2"/>
            <w:vAlign w:val="center"/>
          </w:tcPr>
          <w:p w14:paraId="240499B3" w14:textId="711FB004" w:rsidR="003C66CB" w:rsidRDefault="003C66CB" w:rsidP="003C66CB">
            <w:pPr>
              <w:jc w:val="right"/>
            </w:pPr>
            <w:r w:rsidRPr="00B30D29">
              <w:t>6.2</w:t>
            </w:r>
          </w:p>
        </w:tc>
        <w:tc>
          <w:tcPr>
            <w:tcW w:w="964" w:type="dxa"/>
            <w:gridSpan w:val="2"/>
            <w:vAlign w:val="center"/>
          </w:tcPr>
          <w:p w14:paraId="5F8940F7" w14:textId="4709D2E4" w:rsidR="003C66CB" w:rsidRDefault="003C66CB" w:rsidP="003C66CB">
            <w:pPr>
              <w:jc w:val="right"/>
            </w:pPr>
            <w:r w:rsidRPr="007E56E0">
              <w:t>66%</w:t>
            </w:r>
          </w:p>
        </w:tc>
        <w:tc>
          <w:tcPr>
            <w:tcW w:w="964" w:type="dxa"/>
            <w:gridSpan w:val="2"/>
            <w:vAlign w:val="center"/>
          </w:tcPr>
          <w:p w14:paraId="2F8E34E0" w14:textId="294836AB" w:rsidR="003C66CB" w:rsidRDefault="003C66CB" w:rsidP="003C66CB">
            <w:pPr>
              <w:jc w:val="right"/>
            </w:pPr>
            <w:r w:rsidRPr="007E56E0">
              <w:t>8%</w:t>
            </w:r>
          </w:p>
        </w:tc>
        <w:tc>
          <w:tcPr>
            <w:tcW w:w="964" w:type="dxa"/>
            <w:gridSpan w:val="2"/>
            <w:vAlign w:val="center"/>
          </w:tcPr>
          <w:p w14:paraId="7D8F337D" w14:textId="2DE955A0" w:rsidR="003C66CB" w:rsidRDefault="003C66CB" w:rsidP="003C66CB">
            <w:pPr>
              <w:jc w:val="right"/>
            </w:pPr>
            <w:r w:rsidRPr="007E56E0">
              <w:t>9%</w:t>
            </w:r>
          </w:p>
        </w:tc>
        <w:tc>
          <w:tcPr>
            <w:tcW w:w="964" w:type="dxa"/>
            <w:gridSpan w:val="2"/>
            <w:vAlign w:val="center"/>
          </w:tcPr>
          <w:p w14:paraId="79B73280" w14:textId="25304F13" w:rsidR="003C66CB" w:rsidRDefault="003C66CB" w:rsidP="003C66CB">
            <w:pPr>
              <w:jc w:val="right"/>
            </w:pPr>
            <w:r w:rsidRPr="007E56E0">
              <w:t>8%</w:t>
            </w:r>
          </w:p>
        </w:tc>
        <w:tc>
          <w:tcPr>
            <w:tcW w:w="964" w:type="dxa"/>
            <w:gridSpan w:val="2"/>
            <w:vAlign w:val="center"/>
          </w:tcPr>
          <w:p w14:paraId="04194E84" w14:textId="10119826" w:rsidR="003C66CB" w:rsidRDefault="003C66CB" w:rsidP="003C66CB">
            <w:pPr>
              <w:jc w:val="right"/>
            </w:pPr>
            <w:r w:rsidRPr="007E56E0">
              <w:t>9%</w:t>
            </w:r>
          </w:p>
        </w:tc>
      </w:tr>
      <w:tr w:rsidR="003C66CB" w14:paraId="34CA19EA" w14:textId="77777777" w:rsidTr="003C66CB">
        <w:trPr>
          <w:gridAfter w:val="1"/>
          <w:wAfter w:w="56" w:type="dxa"/>
          <w:trHeight w:val="312"/>
        </w:trPr>
        <w:tc>
          <w:tcPr>
            <w:tcW w:w="3175" w:type="dxa"/>
          </w:tcPr>
          <w:p w14:paraId="611EB4F1" w14:textId="08F20D5C" w:rsidR="003C66CB" w:rsidRDefault="003C66CB" w:rsidP="003C66CB">
            <w:r w:rsidRPr="00573CBA">
              <w:t>Refused to say</w:t>
            </w:r>
          </w:p>
        </w:tc>
        <w:tc>
          <w:tcPr>
            <w:tcW w:w="1191" w:type="dxa"/>
            <w:gridSpan w:val="2"/>
            <w:vAlign w:val="center"/>
          </w:tcPr>
          <w:p w14:paraId="7210656D" w14:textId="7A1F4977" w:rsidR="003C66CB" w:rsidRDefault="003C66CB" w:rsidP="003C66CB">
            <w:pPr>
              <w:jc w:val="right"/>
            </w:pPr>
            <w:r w:rsidRPr="00B30D29">
              <w:t>3.9</w:t>
            </w:r>
          </w:p>
        </w:tc>
        <w:tc>
          <w:tcPr>
            <w:tcW w:w="964" w:type="dxa"/>
            <w:gridSpan w:val="2"/>
            <w:vAlign w:val="center"/>
          </w:tcPr>
          <w:p w14:paraId="7A100BAB" w14:textId="325EBBB4" w:rsidR="003C66CB" w:rsidRDefault="003C66CB" w:rsidP="003C66CB">
            <w:pPr>
              <w:jc w:val="right"/>
            </w:pPr>
            <w:r w:rsidRPr="007E56E0">
              <w:t>64%</w:t>
            </w:r>
          </w:p>
        </w:tc>
        <w:tc>
          <w:tcPr>
            <w:tcW w:w="964" w:type="dxa"/>
            <w:gridSpan w:val="2"/>
            <w:vAlign w:val="center"/>
          </w:tcPr>
          <w:p w14:paraId="549C8FBD" w14:textId="62522E7C" w:rsidR="003C66CB" w:rsidRDefault="003C66CB" w:rsidP="003C66CB">
            <w:pPr>
              <w:jc w:val="right"/>
            </w:pPr>
            <w:r w:rsidRPr="007E56E0">
              <w:t>10%</w:t>
            </w:r>
          </w:p>
        </w:tc>
        <w:tc>
          <w:tcPr>
            <w:tcW w:w="964" w:type="dxa"/>
            <w:gridSpan w:val="2"/>
            <w:vAlign w:val="center"/>
          </w:tcPr>
          <w:p w14:paraId="15431FCD" w14:textId="52F94CA6" w:rsidR="003C66CB" w:rsidRDefault="003C66CB" w:rsidP="003C66CB">
            <w:pPr>
              <w:jc w:val="right"/>
            </w:pPr>
            <w:r w:rsidRPr="007E56E0">
              <w:t>9%</w:t>
            </w:r>
          </w:p>
        </w:tc>
        <w:tc>
          <w:tcPr>
            <w:tcW w:w="964" w:type="dxa"/>
            <w:gridSpan w:val="2"/>
            <w:vAlign w:val="center"/>
          </w:tcPr>
          <w:p w14:paraId="4B27C2A7" w14:textId="7B15BA43" w:rsidR="003C66CB" w:rsidRDefault="003C66CB" w:rsidP="003C66CB">
            <w:pPr>
              <w:jc w:val="right"/>
            </w:pPr>
            <w:r w:rsidRPr="007E56E0">
              <w:t>9%</w:t>
            </w:r>
          </w:p>
        </w:tc>
        <w:tc>
          <w:tcPr>
            <w:tcW w:w="964" w:type="dxa"/>
            <w:gridSpan w:val="2"/>
            <w:vAlign w:val="center"/>
          </w:tcPr>
          <w:p w14:paraId="4F636FF0" w14:textId="50A865E6" w:rsidR="003C66CB" w:rsidRDefault="003C66CB" w:rsidP="003C66CB">
            <w:pPr>
              <w:jc w:val="right"/>
            </w:pPr>
            <w:r w:rsidRPr="007E56E0">
              <w:t>9%</w:t>
            </w:r>
          </w:p>
        </w:tc>
      </w:tr>
      <w:tr w:rsidR="003C66CB" w14:paraId="36032632" w14:textId="77777777" w:rsidTr="003C66CB">
        <w:trPr>
          <w:gridAfter w:val="1"/>
          <w:wAfter w:w="56" w:type="dxa"/>
          <w:trHeight w:val="312"/>
        </w:trPr>
        <w:tc>
          <w:tcPr>
            <w:tcW w:w="3175" w:type="dxa"/>
          </w:tcPr>
          <w:p w14:paraId="4850E3AC" w14:textId="48F740C3" w:rsidR="003C66CB" w:rsidRDefault="003C66CB" w:rsidP="003C66CB">
            <w:r w:rsidRPr="00573CBA">
              <w:t>Other Asian</w:t>
            </w:r>
          </w:p>
        </w:tc>
        <w:tc>
          <w:tcPr>
            <w:tcW w:w="1191" w:type="dxa"/>
            <w:gridSpan w:val="2"/>
            <w:vAlign w:val="center"/>
          </w:tcPr>
          <w:p w14:paraId="623B2A21" w14:textId="7ACBCCFF" w:rsidR="003C66CB" w:rsidRDefault="003C66CB" w:rsidP="003C66CB">
            <w:pPr>
              <w:jc w:val="right"/>
            </w:pPr>
            <w:r w:rsidRPr="00B30D29">
              <w:t>7.9</w:t>
            </w:r>
          </w:p>
        </w:tc>
        <w:tc>
          <w:tcPr>
            <w:tcW w:w="964" w:type="dxa"/>
            <w:gridSpan w:val="2"/>
            <w:vAlign w:val="center"/>
          </w:tcPr>
          <w:p w14:paraId="12CC1C5E" w14:textId="05F7AD64" w:rsidR="003C66CB" w:rsidRDefault="003C66CB" w:rsidP="003C66CB">
            <w:pPr>
              <w:jc w:val="right"/>
            </w:pPr>
            <w:r w:rsidRPr="007E56E0">
              <w:t>67%</w:t>
            </w:r>
          </w:p>
        </w:tc>
        <w:tc>
          <w:tcPr>
            <w:tcW w:w="964" w:type="dxa"/>
            <w:gridSpan w:val="2"/>
            <w:vAlign w:val="center"/>
          </w:tcPr>
          <w:p w14:paraId="3B68F699" w14:textId="2B111348" w:rsidR="003C66CB" w:rsidRDefault="003C66CB" w:rsidP="003C66CB">
            <w:pPr>
              <w:jc w:val="right"/>
            </w:pPr>
            <w:r w:rsidRPr="007E56E0">
              <w:t>9%</w:t>
            </w:r>
          </w:p>
        </w:tc>
        <w:tc>
          <w:tcPr>
            <w:tcW w:w="964" w:type="dxa"/>
            <w:gridSpan w:val="2"/>
            <w:vAlign w:val="center"/>
          </w:tcPr>
          <w:p w14:paraId="44C92B1E" w14:textId="08F4FDA8" w:rsidR="003C66CB" w:rsidRDefault="003C66CB" w:rsidP="003C66CB">
            <w:pPr>
              <w:jc w:val="right"/>
            </w:pPr>
            <w:r w:rsidRPr="007E56E0">
              <w:t>8%</w:t>
            </w:r>
          </w:p>
        </w:tc>
        <w:tc>
          <w:tcPr>
            <w:tcW w:w="964" w:type="dxa"/>
            <w:gridSpan w:val="2"/>
            <w:vAlign w:val="center"/>
          </w:tcPr>
          <w:p w14:paraId="7487E813" w14:textId="3F2CCA15" w:rsidR="003C66CB" w:rsidRDefault="003C66CB" w:rsidP="003C66CB">
            <w:pPr>
              <w:jc w:val="right"/>
            </w:pPr>
            <w:r w:rsidRPr="007E56E0">
              <w:t>7%</w:t>
            </w:r>
          </w:p>
        </w:tc>
        <w:tc>
          <w:tcPr>
            <w:tcW w:w="964" w:type="dxa"/>
            <w:gridSpan w:val="2"/>
            <w:vAlign w:val="center"/>
          </w:tcPr>
          <w:p w14:paraId="1CDF1A5D" w14:textId="31852539" w:rsidR="003C66CB" w:rsidRDefault="003C66CB" w:rsidP="003C66CB">
            <w:pPr>
              <w:jc w:val="right"/>
            </w:pPr>
            <w:r w:rsidRPr="007E56E0">
              <w:t>9%</w:t>
            </w:r>
          </w:p>
        </w:tc>
      </w:tr>
      <w:tr w:rsidR="003C66CB" w14:paraId="0339A0DE" w14:textId="77777777" w:rsidTr="003C66CB">
        <w:trPr>
          <w:gridAfter w:val="1"/>
          <w:wAfter w:w="56" w:type="dxa"/>
          <w:trHeight w:val="312"/>
        </w:trPr>
        <w:tc>
          <w:tcPr>
            <w:tcW w:w="3175" w:type="dxa"/>
          </w:tcPr>
          <w:p w14:paraId="31DD1FC9" w14:textId="507C62FA" w:rsidR="003C66CB" w:rsidRDefault="003C66CB" w:rsidP="003C66CB">
            <w:r w:rsidRPr="00573CBA">
              <w:t>Other White</w:t>
            </w:r>
          </w:p>
        </w:tc>
        <w:tc>
          <w:tcPr>
            <w:tcW w:w="1191" w:type="dxa"/>
            <w:gridSpan w:val="2"/>
            <w:vAlign w:val="center"/>
          </w:tcPr>
          <w:p w14:paraId="0B1930C6" w14:textId="2AACF0F4" w:rsidR="003C66CB" w:rsidRDefault="003C66CB" w:rsidP="003C66CB">
            <w:pPr>
              <w:jc w:val="right"/>
            </w:pPr>
            <w:r w:rsidRPr="00B30D29">
              <w:t>24.9</w:t>
            </w:r>
          </w:p>
        </w:tc>
        <w:tc>
          <w:tcPr>
            <w:tcW w:w="964" w:type="dxa"/>
            <w:gridSpan w:val="2"/>
            <w:vAlign w:val="center"/>
          </w:tcPr>
          <w:p w14:paraId="6070CBBB" w14:textId="66721ADA" w:rsidR="003C66CB" w:rsidRDefault="003C66CB" w:rsidP="003C66CB">
            <w:pPr>
              <w:jc w:val="right"/>
            </w:pPr>
            <w:r w:rsidRPr="007E56E0">
              <w:t>71%</w:t>
            </w:r>
          </w:p>
        </w:tc>
        <w:tc>
          <w:tcPr>
            <w:tcW w:w="964" w:type="dxa"/>
            <w:gridSpan w:val="2"/>
            <w:vAlign w:val="center"/>
          </w:tcPr>
          <w:p w14:paraId="6244C0CA" w14:textId="4F6B8273" w:rsidR="003C66CB" w:rsidRDefault="003C66CB" w:rsidP="003C66CB">
            <w:pPr>
              <w:jc w:val="right"/>
            </w:pPr>
            <w:r w:rsidRPr="007E56E0">
              <w:t>7%</w:t>
            </w:r>
          </w:p>
        </w:tc>
        <w:tc>
          <w:tcPr>
            <w:tcW w:w="964" w:type="dxa"/>
            <w:gridSpan w:val="2"/>
            <w:vAlign w:val="center"/>
          </w:tcPr>
          <w:p w14:paraId="02A4E8E4" w14:textId="25148C41" w:rsidR="003C66CB" w:rsidRDefault="003C66CB" w:rsidP="003C66CB">
            <w:pPr>
              <w:jc w:val="right"/>
            </w:pPr>
            <w:r w:rsidRPr="007E56E0">
              <w:t>7%</w:t>
            </w:r>
          </w:p>
        </w:tc>
        <w:tc>
          <w:tcPr>
            <w:tcW w:w="964" w:type="dxa"/>
            <w:gridSpan w:val="2"/>
            <w:vAlign w:val="center"/>
          </w:tcPr>
          <w:p w14:paraId="0B872EB3" w14:textId="045E52D1" w:rsidR="003C66CB" w:rsidRDefault="003C66CB" w:rsidP="003C66CB">
            <w:pPr>
              <w:jc w:val="right"/>
            </w:pPr>
            <w:r w:rsidRPr="007E56E0">
              <w:t>7%</w:t>
            </w:r>
          </w:p>
        </w:tc>
        <w:tc>
          <w:tcPr>
            <w:tcW w:w="964" w:type="dxa"/>
            <w:gridSpan w:val="2"/>
            <w:vAlign w:val="center"/>
          </w:tcPr>
          <w:p w14:paraId="5C174186" w14:textId="3E937511" w:rsidR="003C66CB" w:rsidRDefault="003C66CB" w:rsidP="003C66CB">
            <w:pPr>
              <w:jc w:val="right"/>
            </w:pPr>
            <w:r w:rsidRPr="007E56E0">
              <w:t>8%</w:t>
            </w:r>
          </w:p>
        </w:tc>
      </w:tr>
      <w:tr w:rsidR="003C66CB" w14:paraId="020D4E29" w14:textId="77777777" w:rsidTr="003C66CB">
        <w:trPr>
          <w:gridAfter w:val="1"/>
          <w:wAfter w:w="56" w:type="dxa"/>
          <w:trHeight w:val="312"/>
        </w:trPr>
        <w:tc>
          <w:tcPr>
            <w:tcW w:w="3175" w:type="dxa"/>
          </w:tcPr>
          <w:p w14:paraId="54DD1E1E" w14:textId="4EEDE2CB" w:rsidR="003C66CB" w:rsidRDefault="003C66CB" w:rsidP="003C66CB">
            <w:r w:rsidRPr="00573CBA">
              <w:t>White British</w:t>
            </w:r>
          </w:p>
        </w:tc>
        <w:tc>
          <w:tcPr>
            <w:tcW w:w="1191" w:type="dxa"/>
            <w:gridSpan w:val="2"/>
            <w:vAlign w:val="center"/>
          </w:tcPr>
          <w:p w14:paraId="41D94AF4" w14:textId="101ABA1E" w:rsidR="003C66CB" w:rsidRDefault="003C66CB" w:rsidP="003C66CB">
            <w:pPr>
              <w:jc w:val="right"/>
            </w:pPr>
            <w:r w:rsidRPr="00B30D29">
              <w:t>450.9</w:t>
            </w:r>
          </w:p>
        </w:tc>
        <w:tc>
          <w:tcPr>
            <w:tcW w:w="964" w:type="dxa"/>
            <w:gridSpan w:val="2"/>
            <w:vAlign w:val="center"/>
          </w:tcPr>
          <w:p w14:paraId="481D4C41" w14:textId="0521DCE9" w:rsidR="003C66CB" w:rsidRDefault="003C66CB" w:rsidP="003C66CB">
            <w:pPr>
              <w:jc w:val="right"/>
            </w:pPr>
            <w:r w:rsidRPr="007E56E0">
              <w:t>70%</w:t>
            </w:r>
          </w:p>
        </w:tc>
        <w:tc>
          <w:tcPr>
            <w:tcW w:w="964" w:type="dxa"/>
            <w:gridSpan w:val="2"/>
            <w:vAlign w:val="center"/>
          </w:tcPr>
          <w:p w14:paraId="27033CBF" w14:textId="380FF638" w:rsidR="003C66CB" w:rsidRDefault="003C66CB" w:rsidP="003C66CB">
            <w:pPr>
              <w:jc w:val="right"/>
            </w:pPr>
            <w:r w:rsidRPr="007E56E0">
              <w:t>9%</w:t>
            </w:r>
          </w:p>
        </w:tc>
        <w:tc>
          <w:tcPr>
            <w:tcW w:w="964" w:type="dxa"/>
            <w:gridSpan w:val="2"/>
            <w:vAlign w:val="center"/>
          </w:tcPr>
          <w:p w14:paraId="423E2AC7" w14:textId="6E9E9A55" w:rsidR="003C66CB" w:rsidRDefault="003C66CB" w:rsidP="003C66CB">
            <w:pPr>
              <w:jc w:val="right"/>
            </w:pPr>
            <w:r w:rsidRPr="007E56E0">
              <w:t>7%</w:t>
            </w:r>
          </w:p>
        </w:tc>
        <w:tc>
          <w:tcPr>
            <w:tcW w:w="964" w:type="dxa"/>
            <w:gridSpan w:val="2"/>
            <w:vAlign w:val="center"/>
          </w:tcPr>
          <w:p w14:paraId="65FBE164" w14:textId="1B606505" w:rsidR="003C66CB" w:rsidRDefault="003C66CB" w:rsidP="003C66CB">
            <w:pPr>
              <w:jc w:val="right"/>
            </w:pPr>
            <w:r w:rsidRPr="007E56E0">
              <w:t>7%</w:t>
            </w:r>
          </w:p>
        </w:tc>
        <w:tc>
          <w:tcPr>
            <w:tcW w:w="964" w:type="dxa"/>
            <w:gridSpan w:val="2"/>
            <w:vAlign w:val="center"/>
          </w:tcPr>
          <w:p w14:paraId="0B02B603" w14:textId="7404EF21" w:rsidR="003C66CB" w:rsidRDefault="003C66CB" w:rsidP="003C66CB">
            <w:pPr>
              <w:jc w:val="right"/>
            </w:pPr>
            <w:r w:rsidRPr="007E56E0">
              <w:t>7%</w:t>
            </w:r>
          </w:p>
        </w:tc>
      </w:tr>
      <w:tr w:rsidR="003C66CB" w14:paraId="50BB5E04" w14:textId="77777777" w:rsidTr="003C66CB">
        <w:trPr>
          <w:gridAfter w:val="1"/>
          <w:wAfter w:w="56" w:type="dxa"/>
          <w:trHeight w:val="312"/>
        </w:trPr>
        <w:tc>
          <w:tcPr>
            <w:tcW w:w="3175" w:type="dxa"/>
          </w:tcPr>
          <w:p w14:paraId="537C2FCB" w14:textId="172254A6" w:rsidR="003C66CB" w:rsidRDefault="003C66CB" w:rsidP="003C66CB">
            <w:r w:rsidRPr="00573CBA">
              <w:t>Indian</w:t>
            </w:r>
          </w:p>
        </w:tc>
        <w:tc>
          <w:tcPr>
            <w:tcW w:w="1191" w:type="dxa"/>
            <w:gridSpan w:val="2"/>
            <w:vAlign w:val="center"/>
          </w:tcPr>
          <w:p w14:paraId="5E4261BA" w14:textId="26928BD7" w:rsidR="003C66CB" w:rsidRDefault="003C66CB" w:rsidP="003C66CB">
            <w:pPr>
              <w:jc w:val="right"/>
            </w:pPr>
            <w:r w:rsidRPr="00B30D29">
              <w:t>13.8</w:t>
            </w:r>
          </w:p>
        </w:tc>
        <w:tc>
          <w:tcPr>
            <w:tcW w:w="964" w:type="dxa"/>
            <w:gridSpan w:val="2"/>
            <w:vAlign w:val="center"/>
          </w:tcPr>
          <w:p w14:paraId="33AC0B64" w14:textId="2545783D" w:rsidR="003C66CB" w:rsidRDefault="003C66CB" w:rsidP="003C66CB">
            <w:pPr>
              <w:jc w:val="right"/>
            </w:pPr>
            <w:r w:rsidRPr="007E56E0">
              <w:t>77%</w:t>
            </w:r>
          </w:p>
        </w:tc>
        <w:tc>
          <w:tcPr>
            <w:tcW w:w="964" w:type="dxa"/>
            <w:gridSpan w:val="2"/>
            <w:vAlign w:val="center"/>
          </w:tcPr>
          <w:p w14:paraId="6A3DC79A" w14:textId="4A9C52C6" w:rsidR="003C66CB" w:rsidRDefault="003C66CB" w:rsidP="003C66CB">
            <w:pPr>
              <w:jc w:val="right"/>
            </w:pPr>
            <w:r w:rsidRPr="007E56E0">
              <w:t>9%</w:t>
            </w:r>
          </w:p>
        </w:tc>
        <w:tc>
          <w:tcPr>
            <w:tcW w:w="964" w:type="dxa"/>
            <w:gridSpan w:val="2"/>
            <w:vAlign w:val="center"/>
          </w:tcPr>
          <w:p w14:paraId="5F1F5BB3" w14:textId="77E86479" w:rsidR="003C66CB" w:rsidRDefault="003C66CB" w:rsidP="003C66CB">
            <w:pPr>
              <w:jc w:val="right"/>
            </w:pPr>
            <w:r w:rsidRPr="007E56E0">
              <w:t>6%</w:t>
            </w:r>
          </w:p>
        </w:tc>
        <w:tc>
          <w:tcPr>
            <w:tcW w:w="964" w:type="dxa"/>
            <w:gridSpan w:val="2"/>
            <w:vAlign w:val="center"/>
          </w:tcPr>
          <w:p w14:paraId="510DCC6D" w14:textId="658B2DBB" w:rsidR="003C66CB" w:rsidRDefault="003C66CB" w:rsidP="003C66CB">
            <w:pPr>
              <w:jc w:val="right"/>
            </w:pPr>
            <w:r w:rsidRPr="007E56E0">
              <w:t>5%</w:t>
            </w:r>
          </w:p>
        </w:tc>
        <w:tc>
          <w:tcPr>
            <w:tcW w:w="964" w:type="dxa"/>
            <w:gridSpan w:val="2"/>
            <w:vAlign w:val="center"/>
          </w:tcPr>
          <w:p w14:paraId="196848BE" w14:textId="17AB34F5" w:rsidR="003C66CB" w:rsidRDefault="003C66CB" w:rsidP="003C66CB">
            <w:pPr>
              <w:jc w:val="right"/>
            </w:pPr>
            <w:r w:rsidRPr="007E56E0">
              <w:t>4%</w:t>
            </w:r>
          </w:p>
        </w:tc>
      </w:tr>
      <w:tr w:rsidR="003C66CB" w14:paraId="3D2F0589" w14:textId="77777777" w:rsidTr="003C66CB">
        <w:trPr>
          <w:gridAfter w:val="1"/>
          <w:wAfter w:w="56" w:type="dxa"/>
          <w:trHeight w:val="312"/>
        </w:trPr>
        <w:tc>
          <w:tcPr>
            <w:tcW w:w="3175" w:type="dxa"/>
          </w:tcPr>
          <w:p w14:paraId="3F1293BF" w14:textId="1B16220C" w:rsidR="003C66CB" w:rsidRDefault="003C66CB" w:rsidP="003C66CB">
            <w:r w:rsidRPr="00573CBA">
              <w:t>Chinese</w:t>
            </w:r>
          </w:p>
        </w:tc>
        <w:tc>
          <w:tcPr>
            <w:tcW w:w="1191" w:type="dxa"/>
            <w:gridSpan w:val="2"/>
            <w:vAlign w:val="center"/>
          </w:tcPr>
          <w:p w14:paraId="46BAED7D" w14:textId="54D39E7D" w:rsidR="003C66CB" w:rsidRDefault="003C66CB" w:rsidP="003C66CB">
            <w:pPr>
              <w:jc w:val="right"/>
            </w:pPr>
            <w:r w:rsidRPr="00B30D29">
              <w:t>2.4</w:t>
            </w:r>
          </w:p>
        </w:tc>
        <w:tc>
          <w:tcPr>
            <w:tcW w:w="964" w:type="dxa"/>
            <w:gridSpan w:val="2"/>
            <w:vAlign w:val="center"/>
          </w:tcPr>
          <w:p w14:paraId="0C35ABDB" w14:textId="1B36987C" w:rsidR="003C66CB" w:rsidRDefault="003C66CB" w:rsidP="003C66CB">
            <w:pPr>
              <w:jc w:val="right"/>
            </w:pPr>
            <w:r w:rsidRPr="007E56E0">
              <w:t>83%</w:t>
            </w:r>
          </w:p>
        </w:tc>
        <w:tc>
          <w:tcPr>
            <w:tcW w:w="964" w:type="dxa"/>
            <w:gridSpan w:val="2"/>
            <w:vAlign w:val="center"/>
          </w:tcPr>
          <w:p w14:paraId="020EA310" w14:textId="2F433AD8" w:rsidR="003C66CB" w:rsidRDefault="003C66CB" w:rsidP="003C66CB">
            <w:pPr>
              <w:jc w:val="right"/>
            </w:pPr>
            <w:r w:rsidRPr="007E56E0">
              <w:t>6%</w:t>
            </w:r>
          </w:p>
        </w:tc>
        <w:tc>
          <w:tcPr>
            <w:tcW w:w="964" w:type="dxa"/>
            <w:gridSpan w:val="2"/>
            <w:vAlign w:val="center"/>
          </w:tcPr>
          <w:p w14:paraId="069260A0" w14:textId="31265044" w:rsidR="003C66CB" w:rsidRDefault="003C66CB" w:rsidP="003C66CB">
            <w:pPr>
              <w:jc w:val="right"/>
            </w:pPr>
            <w:r w:rsidRPr="007E56E0">
              <w:t>5%</w:t>
            </w:r>
          </w:p>
        </w:tc>
        <w:tc>
          <w:tcPr>
            <w:tcW w:w="964" w:type="dxa"/>
            <w:gridSpan w:val="2"/>
            <w:vAlign w:val="center"/>
          </w:tcPr>
          <w:p w14:paraId="38919C5D" w14:textId="6B0A9BBB" w:rsidR="003C66CB" w:rsidRDefault="003C66CB" w:rsidP="003C66CB">
            <w:pPr>
              <w:jc w:val="right"/>
            </w:pPr>
            <w:r w:rsidRPr="007E56E0">
              <w:t>4%</w:t>
            </w:r>
          </w:p>
        </w:tc>
        <w:tc>
          <w:tcPr>
            <w:tcW w:w="964" w:type="dxa"/>
            <w:gridSpan w:val="2"/>
            <w:vAlign w:val="center"/>
          </w:tcPr>
          <w:p w14:paraId="45287C22" w14:textId="11EB30B5" w:rsidR="003C66CB" w:rsidRDefault="003C66CB" w:rsidP="003C66CB">
            <w:pPr>
              <w:jc w:val="right"/>
            </w:pPr>
            <w:r w:rsidRPr="007E56E0">
              <w:t>3%</w:t>
            </w:r>
          </w:p>
        </w:tc>
      </w:tr>
      <w:tr w:rsidR="003C66CB" w14:paraId="30ADD14D" w14:textId="77777777" w:rsidTr="003C66CB">
        <w:trPr>
          <w:gridAfter w:val="1"/>
          <w:wAfter w:w="56" w:type="dxa"/>
          <w:trHeight w:val="312"/>
        </w:trPr>
        <w:tc>
          <w:tcPr>
            <w:tcW w:w="3175" w:type="dxa"/>
          </w:tcPr>
          <w:p w14:paraId="4FF422CC" w14:textId="3B24F39C" w:rsidR="003C66CB" w:rsidRPr="003C2828" w:rsidRDefault="003C66CB" w:rsidP="003C66CB">
            <w:pPr>
              <w:rPr>
                <w:b/>
              </w:rPr>
            </w:pPr>
            <w:r w:rsidRPr="003C2828">
              <w:rPr>
                <w:b/>
              </w:rPr>
              <w:t>Total</w:t>
            </w:r>
          </w:p>
        </w:tc>
        <w:tc>
          <w:tcPr>
            <w:tcW w:w="1191" w:type="dxa"/>
            <w:gridSpan w:val="2"/>
            <w:vAlign w:val="center"/>
          </w:tcPr>
          <w:p w14:paraId="63E7D7A1" w14:textId="5EF0471C" w:rsidR="003C66CB" w:rsidRPr="003C66CB" w:rsidRDefault="003C66CB" w:rsidP="003C66CB">
            <w:pPr>
              <w:jc w:val="right"/>
              <w:rPr>
                <w:b/>
              </w:rPr>
            </w:pPr>
            <w:r w:rsidRPr="003C66CB">
              <w:rPr>
                <w:b/>
              </w:rPr>
              <w:t>599.3</w:t>
            </w:r>
          </w:p>
        </w:tc>
        <w:tc>
          <w:tcPr>
            <w:tcW w:w="964" w:type="dxa"/>
            <w:gridSpan w:val="2"/>
            <w:vAlign w:val="center"/>
          </w:tcPr>
          <w:p w14:paraId="50482E6D" w14:textId="67599032" w:rsidR="003C66CB" w:rsidRPr="003C66CB" w:rsidRDefault="003C66CB" w:rsidP="003C66CB">
            <w:pPr>
              <w:jc w:val="right"/>
              <w:rPr>
                <w:b/>
              </w:rPr>
            </w:pPr>
            <w:r w:rsidRPr="003C66CB">
              <w:rPr>
                <w:b/>
              </w:rPr>
              <w:t>67%</w:t>
            </w:r>
          </w:p>
        </w:tc>
        <w:tc>
          <w:tcPr>
            <w:tcW w:w="964" w:type="dxa"/>
            <w:gridSpan w:val="2"/>
            <w:vAlign w:val="center"/>
          </w:tcPr>
          <w:p w14:paraId="7C29FDDC" w14:textId="2F982CB2" w:rsidR="003C66CB" w:rsidRPr="003C66CB" w:rsidRDefault="003C66CB" w:rsidP="003C66CB">
            <w:pPr>
              <w:jc w:val="right"/>
              <w:rPr>
                <w:b/>
              </w:rPr>
            </w:pPr>
            <w:r w:rsidRPr="003C66CB">
              <w:rPr>
                <w:b/>
              </w:rPr>
              <w:t>9%</w:t>
            </w:r>
          </w:p>
        </w:tc>
        <w:tc>
          <w:tcPr>
            <w:tcW w:w="964" w:type="dxa"/>
            <w:gridSpan w:val="2"/>
            <w:vAlign w:val="center"/>
          </w:tcPr>
          <w:p w14:paraId="71FCE132" w14:textId="5D908BFD" w:rsidR="003C66CB" w:rsidRPr="003C66CB" w:rsidRDefault="003C66CB" w:rsidP="003C66CB">
            <w:pPr>
              <w:jc w:val="right"/>
              <w:rPr>
                <w:b/>
              </w:rPr>
            </w:pPr>
            <w:r w:rsidRPr="003C66CB">
              <w:rPr>
                <w:b/>
              </w:rPr>
              <w:t>8%</w:t>
            </w:r>
          </w:p>
        </w:tc>
        <w:tc>
          <w:tcPr>
            <w:tcW w:w="964" w:type="dxa"/>
            <w:gridSpan w:val="2"/>
            <w:vAlign w:val="center"/>
          </w:tcPr>
          <w:p w14:paraId="0D583A2C" w14:textId="68270BBB" w:rsidR="003C66CB" w:rsidRPr="003C66CB" w:rsidRDefault="003C66CB" w:rsidP="003C66CB">
            <w:pPr>
              <w:jc w:val="right"/>
              <w:rPr>
                <w:b/>
              </w:rPr>
            </w:pPr>
            <w:r w:rsidRPr="003C66CB">
              <w:rPr>
                <w:b/>
              </w:rPr>
              <w:t>8%</w:t>
            </w:r>
          </w:p>
        </w:tc>
        <w:tc>
          <w:tcPr>
            <w:tcW w:w="964" w:type="dxa"/>
            <w:gridSpan w:val="2"/>
            <w:vAlign w:val="center"/>
          </w:tcPr>
          <w:p w14:paraId="0CBC58F8" w14:textId="5A655245" w:rsidR="003C66CB" w:rsidRPr="003C66CB" w:rsidRDefault="003C66CB" w:rsidP="003C66CB">
            <w:pPr>
              <w:jc w:val="right"/>
              <w:rPr>
                <w:b/>
              </w:rPr>
            </w:pPr>
            <w:r w:rsidRPr="003C66CB">
              <w:rPr>
                <w:b/>
              </w:rPr>
              <w:t>8%</w:t>
            </w:r>
          </w:p>
        </w:tc>
      </w:tr>
    </w:tbl>
    <w:p w14:paraId="6D821012" w14:textId="77777777" w:rsidR="00F966E9" w:rsidRDefault="00F966E9" w:rsidP="004F155C"/>
    <w:p w14:paraId="040836D4" w14:textId="43D8C172" w:rsidR="00DE4C4D" w:rsidRDefault="00DE4C4D" w:rsidP="00DE4C4D">
      <w:pPr>
        <w:pStyle w:val="Heading4"/>
      </w:pPr>
      <w:r>
        <w:t>Disadvantage by region</w:t>
      </w:r>
    </w:p>
    <w:p w14:paraId="5A89DB37" w14:textId="1F2F3F72" w:rsidR="00E74338" w:rsidRDefault="00DE4C4D" w:rsidP="00DE4C4D">
      <w:r>
        <w:t>Dis</w:t>
      </w:r>
      <w:r w:rsidR="004C061F">
        <w:t xml:space="preserve">advantage also varies by region, as shown in </w:t>
      </w:r>
      <w:r w:rsidR="004C061F">
        <w:fldChar w:fldCharType="begin"/>
      </w:r>
      <w:r w:rsidR="004C061F">
        <w:instrText xml:space="preserve"> REF _Ref115191563 \h </w:instrText>
      </w:r>
      <w:r w:rsidR="004C061F">
        <w:fldChar w:fldCharType="separate"/>
      </w:r>
      <w:r w:rsidR="00882925">
        <w:t xml:space="preserve">Table </w:t>
      </w:r>
      <w:r w:rsidR="00882925">
        <w:rPr>
          <w:noProof/>
        </w:rPr>
        <w:t>6</w:t>
      </w:r>
      <w:r w:rsidR="004C061F">
        <w:fldChar w:fldCharType="end"/>
      </w:r>
      <w:r w:rsidR="00F966E9">
        <w:t xml:space="preserve"> (overleaf)</w:t>
      </w:r>
      <w:r w:rsidR="004C061F">
        <w:t xml:space="preserve">. Those </w:t>
      </w:r>
      <w:r w:rsidR="00975EE2">
        <w:t>attending schools</w:t>
      </w:r>
      <w:r w:rsidR="004C061F">
        <w:t xml:space="preserve"> in London at age 16 were the most likely to have spent at least some of their school careers eligible for FSM, while those </w:t>
      </w:r>
      <w:r w:rsidR="00975EE2">
        <w:t>attending schools</w:t>
      </w:r>
      <w:r w:rsidR="004C061F">
        <w:t xml:space="preserve"> in the Sout</w:t>
      </w:r>
      <w:r w:rsidR="009A7B74">
        <w:t>h East were the least likely (47</w:t>
      </w:r>
      <w:r w:rsidR="004C061F">
        <w:t xml:space="preserve">% in London vs </w:t>
      </w:r>
      <w:r w:rsidR="009A7B74">
        <w:t>25</w:t>
      </w:r>
      <w:r w:rsidR="004C061F">
        <w:t>% in the S</w:t>
      </w:r>
      <w:r w:rsidR="00E74338">
        <w:t xml:space="preserve">outh East). </w:t>
      </w:r>
    </w:p>
    <w:p w14:paraId="69EBF762" w14:textId="58E766BD" w:rsidR="004C061F" w:rsidRDefault="00E74338" w:rsidP="00DE4C4D">
      <w:r>
        <w:t xml:space="preserve">London also had the highest levels of </w:t>
      </w:r>
      <w:r w:rsidR="0021792A">
        <w:t>long-term</w:t>
      </w:r>
      <w:r>
        <w:t xml:space="preserve"> disadvantage, with </w:t>
      </w:r>
      <w:r w:rsidR="009A7B74">
        <w:t>15</w:t>
      </w:r>
      <w:r>
        <w:t>% of individuals having spent at least 80% of their time at school eligible for FSM. T</w:t>
      </w:r>
      <w:r w:rsidR="009A7B74">
        <w:t>he North East (12</w:t>
      </w:r>
      <w:r>
        <w:t>%) and the North West (</w:t>
      </w:r>
      <w:r w:rsidR="009A7B74">
        <w:t>11</w:t>
      </w:r>
      <w:r>
        <w:t xml:space="preserve">%) had the second and third highest levels of </w:t>
      </w:r>
      <w:r w:rsidR="0021792A">
        <w:t>long-term</w:t>
      </w:r>
      <w:r>
        <w:t xml:space="preserve"> disadvantage. </w:t>
      </w:r>
    </w:p>
    <w:p w14:paraId="1F38720C" w14:textId="37092A1B" w:rsidR="00F966E9" w:rsidRDefault="00F966E9" w:rsidP="00DE4C4D"/>
    <w:p w14:paraId="75A111C4" w14:textId="77777777" w:rsidR="00882925" w:rsidRDefault="00882925" w:rsidP="00DE4C4D"/>
    <w:p w14:paraId="57B902B5" w14:textId="77777777" w:rsidR="009A7B74" w:rsidRDefault="009A7B74" w:rsidP="00DE4C4D"/>
    <w:p w14:paraId="55E8AFD7" w14:textId="77777777" w:rsidR="00F966E9" w:rsidRDefault="00F966E9" w:rsidP="00DE4C4D"/>
    <w:p w14:paraId="1B662DA9" w14:textId="7B2B92D6" w:rsidR="004C061F" w:rsidRDefault="004C061F" w:rsidP="004C061F">
      <w:pPr>
        <w:pStyle w:val="Caption"/>
        <w:keepNext/>
      </w:pPr>
      <w:bookmarkStart w:id="7" w:name="_Ref115191563"/>
      <w:r>
        <w:lastRenderedPageBreak/>
        <w:t xml:space="preserve">Table </w:t>
      </w:r>
      <w:r w:rsidR="00E14893">
        <w:fldChar w:fldCharType="begin"/>
      </w:r>
      <w:r w:rsidR="00E14893">
        <w:instrText xml:space="preserve"> SEQ Table \* ARABIC </w:instrText>
      </w:r>
      <w:r w:rsidR="00E14893">
        <w:fldChar w:fldCharType="separate"/>
      </w:r>
      <w:r w:rsidR="0005315D">
        <w:rPr>
          <w:noProof/>
        </w:rPr>
        <w:t>6</w:t>
      </w:r>
      <w:r w:rsidR="00E14893">
        <w:rPr>
          <w:noProof/>
        </w:rPr>
        <w:fldChar w:fldCharType="end"/>
      </w:r>
      <w:bookmarkEnd w:id="7"/>
      <w:r>
        <w:t xml:space="preserve">: </w:t>
      </w:r>
      <w:r w:rsidRPr="004C061F">
        <w:t xml:space="preserve">A summary of the 2013 Key Stage 4 cohort by </w:t>
      </w:r>
      <w:r>
        <w:t xml:space="preserve">the region </w:t>
      </w:r>
      <w:r w:rsidR="00975EE2">
        <w:t xml:space="preserve">in which </w:t>
      </w:r>
      <w:r>
        <w:t xml:space="preserve">individuals </w:t>
      </w:r>
      <w:r w:rsidR="00975EE2">
        <w:t>attended school</w:t>
      </w:r>
      <w:r>
        <w:t xml:space="preserve"> at age 16</w:t>
      </w:r>
      <w:r w:rsidRPr="004C061F">
        <w:t xml:space="preserve"> and disadvantage. Sorted in descending order of the proportion of individuals who were eligible for </w:t>
      </w:r>
      <w:r w:rsidR="00080770">
        <w:t>free school meals (</w:t>
      </w:r>
      <w:r w:rsidRPr="004C061F">
        <w:t>FSM</w:t>
      </w:r>
      <w:r w:rsidR="00080770">
        <w:t>)</w:t>
      </w:r>
      <w:r w:rsidRPr="004C061F">
        <w:t xml:space="preserve"> for at least 80% of terms.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56"/>
        <w:gridCol w:w="1135"/>
        <w:gridCol w:w="56"/>
        <w:gridCol w:w="908"/>
        <w:gridCol w:w="56"/>
        <w:gridCol w:w="908"/>
        <w:gridCol w:w="56"/>
        <w:gridCol w:w="908"/>
        <w:gridCol w:w="56"/>
        <w:gridCol w:w="908"/>
        <w:gridCol w:w="56"/>
        <w:gridCol w:w="908"/>
        <w:gridCol w:w="56"/>
      </w:tblGrid>
      <w:tr w:rsidR="004C061F" w14:paraId="08FCDBAA" w14:textId="77777777" w:rsidTr="00290868">
        <w:trPr>
          <w:trHeight w:val="340"/>
        </w:trPr>
        <w:tc>
          <w:tcPr>
            <w:tcW w:w="3231" w:type="dxa"/>
            <w:gridSpan w:val="2"/>
          </w:tcPr>
          <w:p w14:paraId="18BEE198" w14:textId="77777777" w:rsidR="004C061F" w:rsidRDefault="004C061F" w:rsidP="00290868"/>
        </w:tc>
        <w:tc>
          <w:tcPr>
            <w:tcW w:w="1191" w:type="dxa"/>
            <w:gridSpan w:val="2"/>
          </w:tcPr>
          <w:p w14:paraId="6DE13BE3" w14:textId="77777777" w:rsidR="004C061F" w:rsidRDefault="004C061F" w:rsidP="00290868">
            <w:pPr>
              <w:jc w:val="right"/>
            </w:pPr>
          </w:p>
        </w:tc>
        <w:tc>
          <w:tcPr>
            <w:tcW w:w="4820" w:type="dxa"/>
            <w:gridSpan w:val="10"/>
            <w:tcBorders>
              <w:bottom w:val="single" w:sz="4" w:space="0" w:color="auto"/>
            </w:tcBorders>
            <w:vAlign w:val="center"/>
          </w:tcPr>
          <w:p w14:paraId="74C37217" w14:textId="77777777" w:rsidR="004C061F" w:rsidRDefault="004C061F" w:rsidP="00290868">
            <w:pPr>
              <w:jc w:val="center"/>
            </w:pPr>
            <w:r>
              <w:t>% terms eligible for FSM</w:t>
            </w:r>
          </w:p>
        </w:tc>
      </w:tr>
      <w:tr w:rsidR="004C061F" w14:paraId="0D111EE5" w14:textId="77777777" w:rsidTr="00226090">
        <w:trPr>
          <w:trHeight w:val="680"/>
        </w:trPr>
        <w:tc>
          <w:tcPr>
            <w:tcW w:w="3231" w:type="dxa"/>
            <w:gridSpan w:val="2"/>
            <w:tcBorders>
              <w:bottom w:val="single" w:sz="4" w:space="0" w:color="auto"/>
            </w:tcBorders>
            <w:vAlign w:val="center"/>
          </w:tcPr>
          <w:p w14:paraId="6783AD3F" w14:textId="1B23AE55" w:rsidR="004C061F" w:rsidRDefault="004C061F" w:rsidP="004C061F">
            <w:r>
              <w:t>Region at age 16</w:t>
            </w:r>
          </w:p>
        </w:tc>
        <w:tc>
          <w:tcPr>
            <w:tcW w:w="1191" w:type="dxa"/>
            <w:gridSpan w:val="2"/>
            <w:tcBorders>
              <w:bottom w:val="single" w:sz="4" w:space="0" w:color="auto"/>
            </w:tcBorders>
            <w:vAlign w:val="center"/>
          </w:tcPr>
          <w:p w14:paraId="419A3556" w14:textId="77777777" w:rsidR="004C061F" w:rsidRDefault="004C061F" w:rsidP="00226090">
            <w:pPr>
              <w:jc w:val="right"/>
            </w:pPr>
            <w:r>
              <w:t>Cohort size (000s)</w:t>
            </w:r>
          </w:p>
        </w:tc>
        <w:tc>
          <w:tcPr>
            <w:tcW w:w="964" w:type="dxa"/>
            <w:gridSpan w:val="2"/>
            <w:tcBorders>
              <w:top w:val="single" w:sz="4" w:space="0" w:color="auto"/>
              <w:bottom w:val="single" w:sz="4" w:space="0" w:color="auto"/>
            </w:tcBorders>
            <w:vAlign w:val="center"/>
          </w:tcPr>
          <w:p w14:paraId="53FCE9DA" w14:textId="77777777" w:rsidR="004C061F" w:rsidRDefault="004C061F" w:rsidP="00226090">
            <w:pPr>
              <w:jc w:val="right"/>
            </w:pPr>
            <w:r>
              <w:t>Never</w:t>
            </w:r>
          </w:p>
        </w:tc>
        <w:tc>
          <w:tcPr>
            <w:tcW w:w="964" w:type="dxa"/>
            <w:gridSpan w:val="2"/>
            <w:tcBorders>
              <w:top w:val="single" w:sz="4" w:space="0" w:color="auto"/>
              <w:bottom w:val="single" w:sz="4" w:space="0" w:color="auto"/>
            </w:tcBorders>
            <w:vAlign w:val="center"/>
          </w:tcPr>
          <w:p w14:paraId="28A42038" w14:textId="77777777" w:rsidR="004C061F" w:rsidRDefault="004C061F" w:rsidP="00226090">
            <w:pPr>
              <w:jc w:val="right"/>
            </w:pPr>
            <w:r>
              <w:t>&lt;=25%</w:t>
            </w:r>
          </w:p>
        </w:tc>
        <w:tc>
          <w:tcPr>
            <w:tcW w:w="964" w:type="dxa"/>
            <w:gridSpan w:val="2"/>
            <w:tcBorders>
              <w:top w:val="single" w:sz="4" w:space="0" w:color="auto"/>
              <w:bottom w:val="single" w:sz="4" w:space="0" w:color="auto"/>
            </w:tcBorders>
            <w:vAlign w:val="center"/>
          </w:tcPr>
          <w:p w14:paraId="3B74DDE2" w14:textId="77777777" w:rsidR="004C061F" w:rsidRDefault="004C061F" w:rsidP="00226090">
            <w:pPr>
              <w:jc w:val="right"/>
            </w:pPr>
            <w:r>
              <w:t xml:space="preserve">25% </w:t>
            </w:r>
          </w:p>
          <w:p w14:paraId="0D710344" w14:textId="77777777" w:rsidR="004C061F" w:rsidRDefault="004C061F" w:rsidP="00226090">
            <w:pPr>
              <w:jc w:val="right"/>
            </w:pPr>
            <w:r>
              <w:t>to 50%</w:t>
            </w:r>
          </w:p>
        </w:tc>
        <w:tc>
          <w:tcPr>
            <w:tcW w:w="964" w:type="dxa"/>
            <w:gridSpan w:val="2"/>
            <w:tcBorders>
              <w:top w:val="single" w:sz="4" w:space="0" w:color="auto"/>
              <w:bottom w:val="single" w:sz="4" w:space="0" w:color="auto"/>
            </w:tcBorders>
            <w:vAlign w:val="center"/>
          </w:tcPr>
          <w:p w14:paraId="43970B37" w14:textId="77777777" w:rsidR="004C061F" w:rsidRDefault="004C061F" w:rsidP="00226090">
            <w:pPr>
              <w:jc w:val="right"/>
            </w:pPr>
            <w:r>
              <w:t xml:space="preserve">50% </w:t>
            </w:r>
          </w:p>
          <w:p w14:paraId="149609B6" w14:textId="77777777" w:rsidR="004C061F" w:rsidRDefault="004C061F" w:rsidP="00226090">
            <w:pPr>
              <w:jc w:val="right"/>
            </w:pPr>
            <w:r>
              <w:t>to 80%</w:t>
            </w:r>
          </w:p>
        </w:tc>
        <w:tc>
          <w:tcPr>
            <w:tcW w:w="964" w:type="dxa"/>
            <w:gridSpan w:val="2"/>
            <w:tcBorders>
              <w:top w:val="single" w:sz="4" w:space="0" w:color="auto"/>
              <w:bottom w:val="single" w:sz="4" w:space="0" w:color="auto"/>
            </w:tcBorders>
            <w:vAlign w:val="center"/>
          </w:tcPr>
          <w:p w14:paraId="5AFF3E97" w14:textId="77777777" w:rsidR="004C061F" w:rsidRDefault="004C061F" w:rsidP="00226090">
            <w:pPr>
              <w:jc w:val="right"/>
            </w:pPr>
            <w:r>
              <w:t>80%+</w:t>
            </w:r>
          </w:p>
        </w:tc>
      </w:tr>
      <w:tr w:rsidR="003C66CB" w14:paraId="2B0AC54D" w14:textId="77777777" w:rsidTr="003C66CB">
        <w:trPr>
          <w:gridAfter w:val="1"/>
          <w:wAfter w:w="56" w:type="dxa"/>
          <w:trHeight w:val="312"/>
        </w:trPr>
        <w:tc>
          <w:tcPr>
            <w:tcW w:w="3175" w:type="dxa"/>
          </w:tcPr>
          <w:p w14:paraId="64DAEA37" w14:textId="551E92AD" w:rsidR="003C66CB" w:rsidRDefault="003C66CB" w:rsidP="003C66CB">
            <w:r w:rsidRPr="002F0A3A">
              <w:t>London</w:t>
            </w:r>
          </w:p>
        </w:tc>
        <w:tc>
          <w:tcPr>
            <w:tcW w:w="1191" w:type="dxa"/>
            <w:gridSpan w:val="2"/>
            <w:vAlign w:val="center"/>
          </w:tcPr>
          <w:p w14:paraId="3D583492" w14:textId="4E97F833" w:rsidR="003C66CB" w:rsidRDefault="003C66CB" w:rsidP="003C66CB">
            <w:pPr>
              <w:jc w:val="right"/>
            </w:pPr>
            <w:r w:rsidRPr="00BD52B1">
              <w:t>83.2</w:t>
            </w:r>
          </w:p>
        </w:tc>
        <w:tc>
          <w:tcPr>
            <w:tcW w:w="964" w:type="dxa"/>
            <w:gridSpan w:val="2"/>
            <w:vAlign w:val="center"/>
          </w:tcPr>
          <w:p w14:paraId="7BE590CA" w14:textId="7B231A8F" w:rsidR="003C66CB" w:rsidRDefault="003C66CB" w:rsidP="003C66CB">
            <w:pPr>
              <w:jc w:val="right"/>
            </w:pPr>
            <w:r w:rsidRPr="00902A45">
              <w:t>53%</w:t>
            </w:r>
          </w:p>
        </w:tc>
        <w:tc>
          <w:tcPr>
            <w:tcW w:w="964" w:type="dxa"/>
            <w:gridSpan w:val="2"/>
            <w:vAlign w:val="center"/>
          </w:tcPr>
          <w:p w14:paraId="30F087BA" w14:textId="0E90AD9D" w:rsidR="003C66CB" w:rsidRDefault="003C66CB" w:rsidP="003C66CB">
            <w:pPr>
              <w:jc w:val="right"/>
            </w:pPr>
            <w:r w:rsidRPr="00902A45">
              <w:t>9%</w:t>
            </w:r>
          </w:p>
        </w:tc>
        <w:tc>
          <w:tcPr>
            <w:tcW w:w="964" w:type="dxa"/>
            <w:gridSpan w:val="2"/>
            <w:vAlign w:val="center"/>
          </w:tcPr>
          <w:p w14:paraId="1693A53E" w14:textId="292B064A" w:rsidR="003C66CB" w:rsidRDefault="003C66CB" w:rsidP="003C66CB">
            <w:pPr>
              <w:jc w:val="right"/>
            </w:pPr>
            <w:r w:rsidRPr="00902A45">
              <w:t>10%</w:t>
            </w:r>
          </w:p>
        </w:tc>
        <w:tc>
          <w:tcPr>
            <w:tcW w:w="964" w:type="dxa"/>
            <w:gridSpan w:val="2"/>
            <w:vAlign w:val="center"/>
          </w:tcPr>
          <w:p w14:paraId="3936F79E" w14:textId="1090D24E" w:rsidR="003C66CB" w:rsidRDefault="003C66CB" w:rsidP="003C66CB">
            <w:pPr>
              <w:jc w:val="right"/>
            </w:pPr>
            <w:r w:rsidRPr="00902A45">
              <w:t>12%</w:t>
            </w:r>
          </w:p>
        </w:tc>
        <w:tc>
          <w:tcPr>
            <w:tcW w:w="964" w:type="dxa"/>
            <w:gridSpan w:val="2"/>
            <w:vAlign w:val="center"/>
          </w:tcPr>
          <w:p w14:paraId="0CC635CE" w14:textId="2D75CADB" w:rsidR="003C66CB" w:rsidRDefault="003C66CB" w:rsidP="003C66CB">
            <w:pPr>
              <w:jc w:val="right"/>
            </w:pPr>
            <w:r w:rsidRPr="00902A45">
              <w:t>15%</w:t>
            </w:r>
          </w:p>
        </w:tc>
      </w:tr>
      <w:tr w:rsidR="003C66CB" w14:paraId="7D194D8A" w14:textId="77777777" w:rsidTr="003C66CB">
        <w:trPr>
          <w:gridAfter w:val="1"/>
          <w:wAfter w:w="56" w:type="dxa"/>
          <w:trHeight w:val="312"/>
        </w:trPr>
        <w:tc>
          <w:tcPr>
            <w:tcW w:w="3175" w:type="dxa"/>
          </w:tcPr>
          <w:p w14:paraId="573FEDEB" w14:textId="482CEDF1" w:rsidR="003C66CB" w:rsidRDefault="003C66CB" w:rsidP="003C66CB">
            <w:r w:rsidRPr="002F0A3A">
              <w:t>North East</w:t>
            </w:r>
          </w:p>
        </w:tc>
        <w:tc>
          <w:tcPr>
            <w:tcW w:w="1191" w:type="dxa"/>
            <w:gridSpan w:val="2"/>
            <w:vAlign w:val="center"/>
          </w:tcPr>
          <w:p w14:paraId="4A972D22" w14:textId="6DDDCC78" w:rsidR="003C66CB" w:rsidRDefault="003C66CB" w:rsidP="003C66CB">
            <w:pPr>
              <w:jc w:val="right"/>
            </w:pPr>
            <w:r w:rsidRPr="00BD52B1">
              <w:t>29.8</w:t>
            </w:r>
          </w:p>
        </w:tc>
        <w:tc>
          <w:tcPr>
            <w:tcW w:w="964" w:type="dxa"/>
            <w:gridSpan w:val="2"/>
            <w:vAlign w:val="center"/>
          </w:tcPr>
          <w:p w14:paraId="24AB463F" w14:textId="1D06B282" w:rsidR="003C66CB" w:rsidRDefault="003C66CB" w:rsidP="003C66CB">
            <w:pPr>
              <w:jc w:val="right"/>
            </w:pPr>
            <w:r w:rsidRPr="00902A45">
              <w:t>60%</w:t>
            </w:r>
          </w:p>
        </w:tc>
        <w:tc>
          <w:tcPr>
            <w:tcW w:w="964" w:type="dxa"/>
            <w:gridSpan w:val="2"/>
            <w:vAlign w:val="center"/>
          </w:tcPr>
          <w:p w14:paraId="59B2B102" w14:textId="49889E55" w:rsidR="003C66CB" w:rsidRDefault="003C66CB" w:rsidP="003C66CB">
            <w:pPr>
              <w:jc w:val="right"/>
            </w:pPr>
            <w:r w:rsidRPr="00902A45">
              <w:t>10%</w:t>
            </w:r>
          </w:p>
        </w:tc>
        <w:tc>
          <w:tcPr>
            <w:tcW w:w="964" w:type="dxa"/>
            <w:gridSpan w:val="2"/>
            <w:vAlign w:val="center"/>
          </w:tcPr>
          <w:p w14:paraId="373D7690" w14:textId="3D6510B4" w:rsidR="003C66CB" w:rsidRDefault="003C66CB" w:rsidP="003C66CB">
            <w:pPr>
              <w:jc w:val="right"/>
            </w:pPr>
            <w:r w:rsidRPr="00902A45">
              <w:t>8%</w:t>
            </w:r>
          </w:p>
        </w:tc>
        <w:tc>
          <w:tcPr>
            <w:tcW w:w="964" w:type="dxa"/>
            <w:gridSpan w:val="2"/>
            <w:vAlign w:val="center"/>
          </w:tcPr>
          <w:p w14:paraId="4BFA4E2D" w14:textId="2084FD14" w:rsidR="003C66CB" w:rsidRDefault="003C66CB" w:rsidP="003C66CB">
            <w:pPr>
              <w:jc w:val="right"/>
            </w:pPr>
            <w:r w:rsidRPr="00902A45">
              <w:t>10%</w:t>
            </w:r>
          </w:p>
        </w:tc>
        <w:tc>
          <w:tcPr>
            <w:tcW w:w="964" w:type="dxa"/>
            <w:gridSpan w:val="2"/>
            <w:vAlign w:val="center"/>
          </w:tcPr>
          <w:p w14:paraId="5C95E259" w14:textId="3EC75655" w:rsidR="003C66CB" w:rsidRDefault="003C66CB" w:rsidP="003C66CB">
            <w:pPr>
              <w:jc w:val="right"/>
            </w:pPr>
            <w:r w:rsidRPr="00902A45">
              <w:t>12%</w:t>
            </w:r>
          </w:p>
        </w:tc>
      </w:tr>
      <w:tr w:rsidR="003C66CB" w14:paraId="55AF2773" w14:textId="77777777" w:rsidTr="003C66CB">
        <w:trPr>
          <w:gridAfter w:val="1"/>
          <w:wAfter w:w="56" w:type="dxa"/>
          <w:trHeight w:val="312"/>
        </w:trPr>
        <w:tc>
          <w:tcPr>
            <w:tcW w:w="3175" w:type="dxa"/>
          </w:tcPr>
          <w:p w14:paraId="4EC0A5D6" w14:textId="4E955753" w:rsidR="003C66CB" w:rsidRDefault="003C66CB" w:rsidP="003C66CB">
            <w:r w:rsidRPr="002F0A3A">
              <w:t>North West</w:t>
            </w:r>
          </w:p>
        </w:tc>
        <w:tc>
          <w:tcPr>
            <w:tcW w:w="1191" w:type="dxa"/>
            <w:gridSpan w:val="2"/>
            <w:vAlign w:val="center"/>
          </w:tcPr>
          <w:p w14:paraId="4FA6E293" w14:textId="450E0341" w:rsidR="003C66CB" w:rsidRDefault="003C66CB" w:rsidP="003C66CB">
            <w:pPr>
              <w:jc w:val="right"/>
            </w:pPr>
            <w:r w:rsidRPr="00BD52B1">
              <w:t>83.8</w:t>
            </w:r>
          </w:p>
        </w:tc>
        <w:tc>
          <w:tcPr>
            <w:tcW w:w="964" w:type="dxa"/>
            <w:gridSpan w:val="2"/>
            <w:vAlign w:val="center"/>
          </w:tcPr>
          <w:p w14:paraId="504F0774" w14:textId="5FD7DB95" w:rsidR="003C66CB" w:rsidRDefault="003C66CB" w:rsidP="003C66CB">
            <w:pPr>
              <w:jc w:val="right"/>
            </w:pPr>
            <w:r w:rsidRPr="00902A45">
              <w:t>63%</w:t>
            </w:r>
          </w:p>
        </w:tc>
        <w:tc>
          <w:tcPr>
            <w:tcW w:w="964" w:type="dxa"/>
            <w:gridSpan w:val="2"/>
            <w:vAlign w:val="center"/>
          </w:tcPr>
          <w:p w14:paraId="02DDD61F" w14:textId="333B85DC" w:rsidR="003C66CB" w:rsidRDefault="003C66CB" w:rsidP="003C66CB">
            <w:pPr>
              <w:jc w:val="right"/>
            </w:pPr>
            <w:r w:rsidRPr="00902A45">
              <w:t>9%</w:t>
            </w:r>
          </w:p>
        </w:tc>
        <w:tc>
          <w:tcPr>
            <w:tcW w:w="964" w:type="dxa"/>
            <w:gridSpan w:val="2"/>
            <w:vAlign w:val="center"/>
          </w:tcPr>
          <w:p w14:paraId="136C02BC" w14:textId="29E49100" w:rsidR="003C66CB" w:rsidRDefault="003C66CB" w:rsidP="003C66CB">
            <w:pPr>
              <w:jc w:val="right"/>
            </w:pPr>
            <w:r w:rsidRPr="00902A45">
              <w:t>8%</w:t>
            </w:r>
          </w:p>
        </w:tc>
        <w:tc>
          <w:tcPr>
            <w:tcW w:w="964" w:type="dxa"/>
            <w:gridSpan w:val="2"/>
            <w:vAlign w:val="center"/>
          </w:tcPr>
          <w:p w14:paraId="31B1A4DE" w14:textId="293A7BA9" w:rsidR="003C66CB" w:rsidRDefault="003C66CB" w:rsidP="003C66CB">
            <w:pPr>
              <w:jc w:val="right"/>
            </w:pPr>
            <w:r w:rsidRPr="00902A45">
              <w:t>9%</w:t>
            </w:r>
          </w:p>
        </w:tc>
        <w:tc>
          <w:tcPr>
            <w:tcW w:w="964" w:type="dxa"/>
            <w:gridSpan w:val="2"/>
            <w:vAlign w:val="center"/>
          </w:tcPr>
          <w:p w14:paraId="070E9678" w14:textId="6ED26FB7" w:rsidR="003C66CB" w:rsidRDefault="003C66CB" w:rsidP="003C66CB">
            <w:pPr>
              <w:jc w:val="right"/>
            </w:pPr>
            <w:r w:rsidRPr="00902A45">
              <w:t>11%</w:t>
            </w:r>
          </w:p>
        </w:tc>
      </w:tr>
      <w:tr w:rsidR="003C66CB" w14:paraId="438E63CC" w14:textId="77777777" w:rsidTr="003C66CB">
        <w:trPr>
          <w:gridAfter w:val="1"/>
          <w:wAfter w:w="56" w:type="dxa"/>
          <w:trHeight w:val="312"/>
        </w:trPr>
        <w:tc>
          <w:tcPr>
            <w:tcW w:w="3175" w:type="dxa"/>
          </w:tcPr>
          <w:p w14:paraId="3B8946E9" w14:textId="17D7F3EE" w:rsidR="003C66CB" w:rsidRDefault="003C66CB" w:rsidP="003C66CB">
            <w:r w:rsidRPr="002F0A3A">
              <w:t>West Midlands</w:t>
            </w:r>
          </w:p>
        </w:tc>
        <w:tc>
          <w:tcPr>
            <w:tcW w:w="1191" w:type="dxa"/>
            <w:gridSpan w:val="2"/>
            <w:vAlign w:val="center"/>
          </w:tcPr>
          <w:p w14:paraId="1C723436" w14:textId="18F1B574" w:rsidR="003C66CB" w:rsidRDefault="003C66CB" w:rsidP="003C66CB">
            <w:pPr>
              <w:jc w:val="right"/>
            </w:pPr>
            <w:r w:rsidRPr="00BD52B1">
              <w:t>67.9</w:t>
            </w:r>
          </w:p>
        </w:tc>
        <w:tc>
          <w:tcPr>
            <w:tcW w:w="964" w:type="dxa"/>
            <w:gridSpan w:val="2"/>
            <w:vAlign w:val="center"/>
          </w:tcPr>
          <w:p w14:paraId="6449ADBE" w14:textId="2583D6EE" w:rsidR="003C66CB" w:rsidRDefault="003C66CB" w:rsidP="003C66CB">
            <w:pPr>
              <w:jc w:val="right"/>
            </w:pPr>
            <w:r w:rsidRPr="00902A45">
              <w:t>64%</w:t>
            </w:r>
          </w:p>
        </w:tc>
        <w:tc>
          <w:tcPr>
            <w:tcW w:w="964" w:type="dxa"/>
            <w:gridSpan w:val="2"/>
            <w:vAlign w:val="center"/>
          </w:tcPr>
          <w:p w14:paraId="799B3FB7" w14:textId="223EBC3E" w:rsidR="003C66CB" w:rsidRDefault="003C66CB" w:rsidP="003C66CB">
            <w:pPr>
              <w:jc w:val="right"/>
            </w:pPr>
            <w:r w:rsidRPr="00902A45">
              <w:t>9%</w:t>
            </w:r>
          </w:p>
        </w:tc>
        <w:tc>
          <w:tcPr>
            <w:tcW w:w="964" w:type="dxa"/>
            <w:gridSpan w:val="2"/>
            <w:vAlign w:val="center"/>
          </w:tcPr>
          <w:p w14:paraId="53E84CAF" w14:textId="307AB4C4" w:rsidR="003C66CB" w:rsidRDefault="003C66CB" w:rsidP="003C66CB">
            <w:pPr>
              <w:jc w:val="right"/>
            </w:pPr>
            <w:r w:rsidRPr="00902A45">
              <w:t>9%</w:t>
            </w:r>
          </w:p>
        </w:tc>
        <w:tc>
          <w:tcPr>
            <w:tcW w:w="964" w:type="dxa"/>
            <w:gridSpan w:val="2"/>
            <w:vAlign w:val="center"/>
          </w:tcPr>
          <w:p w14:paraId="11D2C37F" w14:textId="2D258E10" w:rsidR="003C66CB" w:rsidRDefault="003C66CB" w:rsidP="003C66CB">
            <w:pPr>
              <w:jc w:val="right"/>
            </w:pPr>
            <w:r w:rsidRPr="00902A45">
              <w:t>9%</w:t>
            </w:r>
          </w:p>
        </w:tc>
        <w:tc>
          <w:tcPr>
            <w:tcW w:w="964" w:type="dxa"/>
            <w:gridSpan w:val="2"/>
            <w:vAlign w:val="center"/>
          </w:tcPr>
          <w:p w14:paraId="5DA2A485" w14:textId="4F9BCD84" w:rsidR="003C66CB" w:rsidRDefault="003C66CB" w:rsidP="003C66CB">
            <w:pPr>
              <w:jc w:val="right"/>
            </w:pPr>
            <w:r w:rsidRPr="00902A45">
              <w:t>10%</w:t>
            </w:r>
          </w:p>
        </w:tc>
      </w:tr>
      <w:tr w:rsidR="003C66CB" w14:paraId="2C81B7B3" w14:textId="77777777" w:rsidTr="003C66CB">
        <w:trPr>
          <w:gridAfter w:val="1"/>
          <w:wAfter w:w="56" w:type="dxa"/>
          <w:trHeight w:val="312"/>
        </w:trPr>
        <w:tc>
          <w:tcPr>
            <w:tcW w:w="3175" w:type="dxa"/>
          </w:tcPr>
          <w:p w14:paraId="48976F03" w14:textId="47423ED9" w:rsidR="003C66CB" w:rsidRDefault="003C66CB" w:rsidP="003C66CB">
            <w:r w:rsidRPr="002F0A3A">
              <w:t>Yorkshire and the Humber</w:t>
            </w:r>
          </w:p>
        </w:tc>
        <w:tc>
          <w:tcPr>
            <w:tcW w:w="1191" w:type="dxa"/>
            <w:gridSpan w:val="2"/>
            <w:vAlign w:val="center"/>
          </w:tcPr>
          <w:p w14:paraId="748AA120" w14:textId="035E119F" w:rsidR="003C66CB" w:rsidRDefault="003C66CB" w:rsidP="003C66CB">
            <w:pPr>
              <w:jc w:val="right"/>
            </w:pPr>
            <w:r w:rsidRPr="00BD52B1">
              <w:t>61.0</w:t>
            </w:r>
          </w:p>
        </w:tc>
        <w:tc>
          <w:tcPr>
            <w:tcW w:w="964" w:type="dxa"/>
            <w:gridSpan w:val="2"/>
            <w:vAlign w:val="center"/>
          </w:tcPr>
          <w:p w14:paraId="05543D11" w14:textId="4723003B" w:rsidR="003C66CB" w:rsidRDefault="003C66CB" w:rsidP="003C66CB">
            <w:pPr>
              <w:jc w:val="right"/>
            </w:pPr>
            <w:r w:rsidRPr="00902A45">
              <w:t>65%</w:t>
            </w:r>
          </w:p>
        </w:tc>
        <w:tc>
          <w:tcPr>
            <w:tcW w:w="964" w:type="dxa"/>
            <w:gridSpan w:val="2"/>
            <w:vAlign w:val="center"/>
          </w:tcPr>
          <w:p w14:paraId="0BB77325" w14:textId="5B749F34" w:rsidR="003C66CB" w:rsidRDefault="003C66CB" w:rsidP="003C66CB">
            <w:pPr>
              <w:jc w:val="right"/>
            </w:pPr>
            <w:r w:rsidRPr="00902A45">
              <w:t>10%</w:t>
            </w:r>
          </w:p>
        </w:tc>
        <w:tc>
          <w:tcPr>
            <w:tcW w:w="964" w:type="dxa"/>
            <w:gridSpan w:val="2"/>
            <w:vAlign w:val="center"/>
          </w:tcPr>
          <w:p w14:paraId="17C90E3D" w14:textId="0E35DD1B" w:rsidR="003C66CB" w:rsidRDefault="003C66CB" w:rsidP="003C66CB">
            <w:pPr>
              <w:jc w:val="right"/>
            </w:pPr>
            <w:r w:rsidRPr="00902A45">
              <w:t>8%</w:t>
            </w:r>
          </w:p>
        </w:tc>
        <w:tc>
          <w:tcPr>
            <w:tcW w:w="964" w:type="dxa"/>
            <w:gridSpan w:val="2"/>
            <w:vAlign w:val="center"/>
          </w:tcPr>
          <w:p w14:paraId="1733EBB1" w14:textId="3B09350E" w:rsidR="003C66CB" w:rsidRDefault="003C66CB" w:rsidP="003C66CB">
            <w:pPr>
              <w:jc w:val="right"/>
            </w:pPr>
            <w:r w:rsidRPr="00902A45">
              <w:t>8%</w:t>
            </w:r>
          </w:p>
        </w:tc>
        <w:tc>
          <w:tcPr>
            <w:tcW w:w="964" w:type="dxa"/>
            <w:gridSpan w:val="2"/>
            <w:vAlign w:val="center"/>
          </w:tcPr>
          <w:p w14:paraId="3DE59B40" w14:textId="58F71BFE" w:rsidR="003C66CB" w:rsidRDefault="003C66CB" w:rsidP="003C66CB">
            <w:pPr>
              <w:jc w:val="right"/>
            </w:pPr>
            <w:r w:rsidRPr="00902A45">
              <w:t>9%</w:t>
            </w:r>
          </w:p>
        </w:tc>
      </w:tr>
      <w:tr w:rsidR="003C66CB" w14:paraId="2A9F4551" w14:textId="77777777" w:rsidTr="003C66CB">
        <w:trPr>
          <w:gridAfter w:val="1"/>
          <w:wAfter w:w="56" w:type="dxa"/>
          <w:trHeight w:val="312"/>
        </w:trPr>
        <w:tc>
          <w:tcPr>
            <w:tcW w:w="3175" w:type="dxa"/>
          </w:tcPr>
          <w:p w14:paraId="07711284" w14:textId="39D1AB36" w:rsidR="003C66CB" w:rsidRDefault="003C66CB" w:rsidP="003C66CB">
            <w:r w:rsidRPr="002F0A3A">
              <w:t>East Midlands</w:t>
            </w:r>
          </w:p>
        </w:tc>
        <w:tc>
          <w:tcPr>
            <w:tcW w:w="1191" w:type="dxa"/>
            <w:gridSpan w:val="2"/>
            <w:vAlign w:val="center"/>
          </w:tcPr>
          <w:p w14:paraId="17E0062E" w14:textId="293220D1" w:rsidR="003C66CB" w:rsidRDefault="003C66CB" w:rsidP="003C66CB">
            <w:pPr>
              <w:jc w:val="right"/>
            </w:pPr>
            <w:r w:rsidRPr="00BD52B1">
              <w:t>52.4</w:t>
            </w:r>
          </w:p>
        </w:tc>
        <w:tc>
          <w:tcPr>
            <w:tcW w:w="964" w:type="dxa"/>
            <w:gridSpan w:val="2"/>
            <w:vAlign w:val="center"/>
          </w:tcPr>
          <w:p w14:paraId="0859DD58" w14:textId="7B394871" w:rsidR="003C66CB" w:rsidRDefault="003C66CB" w:rsidP="003C66CB">
            <w:pPr>
              <w:jc w:val="right"/>
            </w:pPr>
            <w:r w:rsidRPr="00902A45">
              <w:t>71%</w:t>
            </w:r>
          </w:p>
        </w:tc>
        <w:tc>
          <w:tcPr>
            <w:tcW w:w="964" w:type="dxa"/>
            <w:gridSpan w:val="2"/>
            <w:vAlign w:val="center"/>
          </w:tcPr>
          <w:p w14:paraId="7A8D2925" w14:textId="290AA4EE" w:rsidR="003C66CB" w:rsidRDefault="003C66CB" w:rsidP="003C66CB">
            <w:pPr>
              <w:jc w:val="right"/>
            </w:pPr>
            <w:r w:rsidRPr="00902A45">
              <w:t>9%</w:t>
            </w:r>
          </w:p>
        </w:tc>
        <w:tc>
          <w:tcPr>
            <w:tcW w:w="964" w:type="dxa"/>
            <w:gridSpan w:val="2"/>
            <w:vAlign w:val="center"/>
          </w:tcPr>
          <w:p w14:paraId="147068C7" w14:textId="1DC80A47" w:rsidR="003C66CB" w:rsidRDefault="003C66CB" w:rsidP="003C66CB">
            <w:pPr>
              <w:jc w:val="right"/>
            </w:pPr>
            <w:r w:rsidRPr="00902A45">
              <w:t>8%</w:t>
            </w:r>
          </w:p>
        </w:tc>
        <w:tc>
          <w:tcPr>
            <w:tcW w:w="964" w:type="dxa"/>
            <w:gridSpan w:val="2"/>
            <w:vAlign w:val="center"/>
          </w:tcPr>
          <w:p w14:paraId="37706958" w14:textId="7574099E" w:rsidR="003C66CB" w:rsidRDefault="003C66CB" w:rsidP="003C66CB">
            <w:pPr>
              <w:jc w:val="right"/>
            </w:pPr>
            <w:r w:rsidRPr="00902A45">
              <w:t>7%</w:t>
            </w:r>
          </w:p>
        </w:tc>
        <w:tc>
          <w:tcPr>
            <w:tcW w:w="964" w:type="dxa"/>
            <w:gridSpan w:val="2"/>
            <w:vAlign w:val="center"/>
          </w:tcPr>
          <w:p w14:paraId="6E8620A5" w14:textId="012743AB" w:rsidR="003C66CB" w:rsidRDefault="003C66CB" w:rsidP="003C66CB">
            <w:pPr>
              <w:jc w:val="right"/>
            </w:pPr>
            <w:r w:rsidRPr="00902A45">
              <w:t>6%</w:t>
            </w:r>
          </w:p>
        </w:tc>
      </w:tr>
      <w:tr w:rsidR="003C66CB" w14:paraId="585CCED2" w14:textId="77777777" w:rsidTr="003C66CB">
        <w:trPr>
          <w:gridAfter w:val="1"/>
          <w:wAfter w:w="56" w:type="dxa"/>
          <w:trHeight w:val="312"/>
        </w:trPr>
        <w:tc>
          <w:tcPr>
            <w:tcW w:w="3175" w:type="dxa"/>
          </w:tcPr>
          <w:p w14:paraId="3B32F324" w14:textId="2A3E16FE" w:rsidR="003C66CB" w:rsidRDefault="003C66CB" w:rsidP="003C66CB">
            <w:r w:rsidRPr="002F0A3A">
              <w:t>East</w:t>
            </w:r>
          </w:p>
        </w:tc>
        <w:tc>
          <w:tcPr>
            <w:tcW w:w="1191" w:type="dxa"/>
            <w:gridSpan w:val="2"/>
            <w:vAlign w:val="center"/>
          </w:tcPr>
          <w:p w14:paraId="2CA68731" w14:textId="415C7DD8" w:rsidR="003C66CB" w:rsidRDefault="003C66CB" w:rsidP="003C66CB">
            <w:pPr>
              <w:jc w:val="right"/>
            </w:pPr>
            <w:r w:rsidRPr="00BD52B1">
              <w:t>68.0</w:t>
            </w:r>
          </w:p>
        </w:tc>
        <w:tc>
          <w:tcPr>
            <w:tcW w:w="964" w:type="dxa"/>
            <w:gridSpan w:val="2"/>
            <w:vAlign w:val="center"/>
          </w:tcPr>
          <w:p w14:paraId="0B9D37D9" w14:textId="079B990E" w:rsidR="003C66CB" w:rsidRDefault="003C66CB" w:rsidP="003C66CB">
            <w:pPr>
              <w:jc w:val="right"/>
            </w:pPr>
            <w:r w:rsidRPr="00902A45">
              <w:t>73%</w:t>
            </w:r>
          </w:p>
        </w:tc>
        <w:tc>
          <w:tcPr>
            <w:tcW w:w="964" w:type="dxa"/>
            <w:gridSpan w:val="2"/>
            <w:vAlign w:val="center"/>
          </w:tcPr>
          <w:p w14:paraId="29743987" w14:textId="22383F7F" w:rsidR="003C66CB" w:rsidRDefault="003C66CB" w:rsidP="003C66CB">
            <w:pPr>
              <w:jc w:val="right"/>
            </w:pPr>
            <w:r w:rsidRPr="00902A45">
              <w:t>9%</w:t>
            </w:r>
          </w:p>
        </w:tc>
        <w:tc>
          <w:tcPr>
            <w:tcW w:w="964" w:type="dxa"/>
            <w:gridSpan w:val="2"/>
            <w:vAlign w:val="center"/>
          </w:tcPr>
          <w:p w14:paraId="6ACFC4A2" w14:textId="119DF8C3" w:rsidR="003C66CB" w:rsidRDefault="003C66CB" w:rsidP="003C66CB">
            <w:pPr>
              <w:jc w:val="right"/>
            </w:pPr>
            <w:r w:rsidRPr="00902A45">
              <w:t>7%</w:t>
            </w:r>
          </w:p>
        </w:tc>
        <w:tc>
          <w:tcPr>
            <w:tcW w:w="964" w:type="dxa"/>
            <w:gridSpan w:val="2"/>
            <w:vAlign w:val="center"/>
          </w:tcPr>
          <w:p w14:paraId="3FB77DD4" w14:textId="2FC065FF" w:rsidR="003C66CB" w:rsidRDefault="003C66CB" w:rsidP="003C66CB">
            <w:pPr>
              <w:jc w:val="right"/>
            </w:pPr>
            <w:r w:rsidRPr="00902A45">
              <w:t>6%</w:t>
            </w:r>
          </w:p>
        </w:tc>
        <w:tc>
          <w:tcPr>
            <w:tcW w:w="964" w:type="dxa"/>
            <w:gridSpan w:val="2"/>
            <w:vAlign w:val="center"/>
          </w:tcPr>
          <w:p w14:paraId="7D62F4F8" w14:textId="714DDDCA" w:rsidR="003C66CB" w:rsidRDefault="003C66CB" w:rsidP="003C66CB">
            <w:pPr>
              <w:jc w:val="right"/>
            </w:pPr>
            <w:r w:rsidRPr="00902A45">
              <w:t>4%</w:t>
            </w:r>
          </w:p>
        </w:tc>
      </w:tr>
      <w:tr w:rsidR="003C66CB" w14:paraId="0C5ACA78" w14:textId="77777777" w:rsidTr="003C66CB">
        <w:trPr>
          <w:gridAfter w:val="1"/>
          <w:wAfter w:w="56" w:type="dxa"/>
          <w:trHeight w:val="312"/>
        </w:trPr>
        <w:tc>
          <w:tcPr>
            <w:tcW w:w="3175" w:type="dxa"/>
          </w:tcPr>
          <w:p w14:paraId="7B772A86" w14:textId="4CD467E2" w:rsidR="003C66CB" w:rsidRDefault="003C66CB" w:rsidP="003C66CB">
            <w:r w:rsidRPr="002F0A3A">
              <w:t>South West</w:t>
            </w:r>
          </w:p>
        </w:tc>
        <w:tc>
          <w:tcPr>
            <w:tcW w:w="1191" w:type="dxa"/>
            <w:gridSpan w:val="2"/>
            <w:vAlign w:val="center"/>
          </w:tcPr>
          <w:p w14:paraId="25A74786" w14:textId="0B619789" w:rsidR="003C66CB" w:rsidRDefault="003C66CB" w:rsidP="003C66CB">
            <w:pPr>
              <w:jc w:val="right"/>
            </w:pPr>
            <w:r w:rsidRPr="00BD52B1">
              <w:t>58.9</w:t>
            </w:r>
          </w:p>
        </w:tc>
        <w:tc>
          <w:tcPr>
            <w:tcW w:w="964" w:type="dxa"/>
            <w:gridSpan w:val="2"/>
            <w:vAlign w:val="center"/>
          </w:tcPr>
          <w:p w14:paraId="1D6FA870" w14:textId="36E16D28" w:rsidR="003C66CB" w:rsidRDefault="003C66CB" w:rsidP="003C66CB">
            <w:pPr>
              <w:jc w:val="right"/>
            </w:pPr>
            <w:r w:rsidRPr="00902A45">
              <w:t>74%</w:t>
            </w:r>
          </w:p>
        </w:tc>
        <w:tc>
          <w:tcPr>
            <w:tcW w:w="964" w:type="dxa"/>
            <w:gridSpan w:val="2"/>
            <w:vAlign w:val="center"/>
          </w:tcPr>
          <w:p w14:paraId="5F9D9279" w14:textId="141C3F74" w:rsidR="003C66CB" w:rsidRDefault="003C66CB" w:rsidP="003C66CB">
            <w:pPr>
              <w:jc w:val="right"/>
            </w:pPr>
            <w:r w:rsidRPr="00902A45">
              <w:t>8%</w:t>
            </w:r>
          </w:p>
        </w:tc>
        <w:tc>
          <w:tcPr>
            <w:tcW w:w="964" w:type="dxa"/>
            <w:gridSpan w:val="2"/>
            <w:vAlign w:val="center"/>
          </w:tcPr>
          <w:p w14:paraId="3B09183B" w14:textId="14F15F45" w:rsidR="003C66CB" w:rsidRDefault="003C66CB" w:rsidP="003C66CB">
            <w:pPr>
              <w:jc w:val="right"/>
            </w:pPr>
            <w:r w:rsidRPr="00902A45">
              <w:t>7%</w:t>
            </w:r>
          </w:p>
        </w:tc>
        <w:tc>
          <w:tcPr>
            <w:tcW w:w="964" w:type="dxa"/>
            <w:gridSpan w:val="2"/>
            <w:vAlign w:val="center"/>
          </w:tcPr>
          <w:p w14:paraId="66F354F7" w14:textId="63E38C42" w:rsidR="003C66CB" w:rsidRDefault="003C66CB" w:rsidP="003C66CB">
            <w:pPr>
              <w:jc w:val="right"/>
            </w:pPr>
            <w:r w:rsidRPr="00902A45">
              <w:t>6%</w:t>
            </w:r>
          </w:p>
        </w:tc>
        <w:tc>
          <w:tcPr>
            <w:tcW w:w="964" w:type="dxa"/>
            <w:gridSpan w:val="2"/>
            <w:vAlign w:val="center"/>
          </w:tcPr>
          <w:p w14:paraId="200F7727" w14:textId="32EAA3D7" w:rsidR="003C66CB" w:rsidRDefault="003C66CB" w:rsidP="003C66CB">
            <w:pPr>
              <w:jc w:val="right"/>
            </w:pPr>
            <w:r w:rsidRPr="00902A45">
              <w:t>4%</w:t>
            </w:r>
          </w:p>
        </w:tc>
      </w:tr>
      <w:tr w:rsidR="003C66CB" w14:paraId="363C8941" w14:textId="77777777" w:rsidTr="003C66CB">
        <w:trPr>
          <w:gridAfter w:val="1"/>
          <w:wAfter w:w="56" w:type="dxa"/>
          <w:trHeight w:val="312"/>
        </w:trPr>
        <w:tc>
          <w:tcPr>
            <w:tcW w:w="3175" w:type="dxa"/>
          </w:tcPr>
          <w:p w14:paraId="12161305" w14:textId="4EA9C9E9" w:rsidR="003C66CB" w:rsidRDefault="003C66CB" w:rsidP="003C66CB">
            <w:r w:rsidRPr="002F0A3A">
              <w:t>South East</w:t>
            </w:r>
          </w:p>
        </w:tc>
        <w:tc>
          <w:tcPr>
            <w:tcW w:w="1191" w:type="dxa"/>
            <w:gridSpan w:val="2"/>
            <w:vAlign w:val="center"/>
          </w:tcPr>
          <w:p w14:paraId="73E46DD8" w14:textId="0BCE4C00" w:rsidR="003C66CB" w:rsidRDefault="003C66CB" w:rsidP="003C66CB">
            <w:pPr>
              <w:jc w:val="right"/>
            </w:pPr>
            <w:r w:rsidRPr="00BD52B1">
              <w:t>94.4</w:t>
            </w:r>
          </w:p>
        </w:tc>
        <w:tc>
          <w:tcPr>
            <w:tcW w:w="964" w:type="dxa"/>
            <w:gridSpan w:val="2"/>
            <w:vAlign w:val="center"/>
          </w:tcPr>
          <w:p w14:paraId="1D56FF2B" w14:textId="7C84BF22" w:rsidR="003C66CB" w:rsidRDefault="003C66CB" w:rsidP="003C66CB">
            <w:pPr>
              <w:jc w:val="right"/>
            </w:pPr>
            <w:r w:rsidRPr="00902A45">
              <w:t>75%</w:t>
            </w:r>
          </w:p>
        </w:tc>
        <w:tc>
          <w:tcPr>
            <w:tcW w:w="964" w:type="dxa"/>
            <w:gridSpan w:val="2"/>
            <w:vAlign w:val="center"/>
          </w:tcPr>
          <w:p w14:paraId="2D87C64D" w14:textId="681FB5B5" w:rsidR="003C66CB" w:rsidRDefault="003C66CB" w:rsidP="003C66CB">
            <w:pPr>
              <w:jc w:val="right"/>
            </w:pPr>
            <w:r w:rsidRPr="00902A45">
              <w:t>8%</w:t>
            </w:r>
          </w:p>
        </w:tc>
        <w:tc>
          <w:tcPr>
            <w:tcW w:w="964" w:type="dxa"/>
            <w:gridSpan w:val="2"/>
            <w:vAlign w:val="center"/>
          </w:tcPr>
          <w:p w14:paraId="4CCF3BDB" w14:textId="202D1C77" w:rsidR="003C66CB" w:rsidRDefault="003C66CB" w:rsidP="003C66CB">
            <w:pPr>
              <w:jc w:val="right"/>
            </w:pPr>
            <w:r w:rsidRPr="00902A45">
              <w:t>7%</w:t>
            </w:r>
          </w:p>
        </w:tc>
        <w:tc>
          <w:tcPr>
            <w:tcW w:w="964" w:type="dxa"/>
            <w:gridSpan w:val="2"/>
            <w:vAlign w:val="center"/>
          </w:tcPr>
          <w:p w14:paraId="45383020" w14:textId="74F6195C" w:rsidR="003C66CB" w:rsidRDefault="003C66CB" w:rsidP="003C66CB">
            <w:pPr>
              <w:jc w:val="right"/>
            </w:pPr>
            <w:r w:rsidRPr="00902A45">
              <w:t>6%</w:t>
            </w:r>
          </w:p>
        </w:tc>
        <w:tc>
          <w:tcPr>
            <w:tcW w:w="964" w:type="dxa"/>
            <w:gridSpan w:val="2"/>
            <w:vAlign w:val="center"/>
          </w:tcPr>
          <w:p w14:paraId="179B273A" w14:textId="188D0715" w:rsidR="003C66CB" w:rsidRDefault="003C66CB" w:rsidP="003C66CB">
            <w:pPr>
              <w:jc w:val="right"/>
            </w:pPr>
            <w:r w:rsidRPr="00902A45">
              <w:t>4%</w:t>
            </w:r>
          </w:p>
        </w:tc>
      </w:tr>
      <w:tr w:rsidR="003C66CB" w:rsidRPr="003C66CB" w14:paraId="5B47B535" w14:textId="77777777" w:rsidTr="003C66CB">
        <w:trPr>
          <w:gridAfter w:val="1"/>
          <w:wAfter w:w="56" w:type="dxa"/>
          <w:trHeight w:val="312"/>
        </w:trPr>
        <w:tc>
          <w:tcPr>
            <w:tcW w:w="3175" w:type="dxa"/>
          </w:tcPr>
          <w:p w14:paraId="78F4773D" w14:textId="77777777" w:rsidR="003C66CB" w:rsidRPr="003C2828" w:rsidRDefault="003C66CB" w:rsidP="003C66CB">
            <w:pPr>
              <w:rPr>
                <w:b/>
              </w:rPr>
            </w:pPr>
            <w:r w:rsidRPr="003C2828">
              <w:rPr>
                <w:b/>
              </w:rPr>
              <w:t>Total</w:t>
            </w:r>
          </w:p>
        </w:tc>
        <w:tc>
          <w:tcPr>
            <w:tcW w:w="1191" w:type="dxa"/>
            <w:gridSpan w:val="2"/>
            <w:vAlign w:val="center"/>
          </w:tcPr>
          <w:p w14:paraId="558F5014" w14:textId="17DCB313" w:rsidR="003C66CB" w:rsidRPr="00226090" w:rsidRDefault="003C66CB" w:rsidP="003C66CB">
            <w:pPr>
              <w:jc w:val="right"/>
              <w:rPr>
                <w:b/>
              </w:rPr>
            </w:pPr>
            <w:r w:rsidRPr="00226090">
              <w:rPr>
                <w:b/>
              </w:rPr>
              <w:t>599.3</w:t>
            </w:r>
          </w:p>
        </w:tc>
        <w:tc>
          <w:tcPr>
            <w:tcW w:w="964" w:type="dxa"/>
            <w:gridSpan w:val="2"/>
            <w:vAlign w:val="center"/>
          </w:tcPr>
          <w:p w14:paraId="75FFEA73" w14:textId="6C749D5C" w:rsidR="003C66CB" w:rsidRPr="003C66CB" w:rsidRDefault="003C66CB" w:rsidP="003C66CB">
            <w:pPr>
              <w:jc w:val="right"/>
              <w:rPr>
                <w:b/>
              </w:rPr>
            </w:pPr>
            <w:r w:rsidRPr="003C66CB">
              <w:rPr>
                <w:b/>
              </w:rPr>
              <w:t>67%</w:t>
            </w:r>
          </w:p>
        </w:tc>
        <w:tc>
          <w:tcPr>
            <w:tcW w:w="964" w:type="dxa"/>
            <w:gridSpan w:val="2"/>
            <w:vAlign w:val="center"/>
          </w:tcPr>
          <w:p w14:paraId="75D24026" w14:textId="4E7369CA" w:rsidR="003C66CB" w:rsidRPr="003C66CB" w:rsidRDefault="003C66CB" w:rsidP="003C66CB">
            <w:pPr>
              <w:jc w:val="right"/>
              <w:rPr>
                <w:b/>
              </w:rPr>
            </w:pPr>
            <w:r w:rsidRPr="003C66CB">
              <w:rPr>
                <w:b/>
              </w:rPr>
              <w:t>9%</w:t>
            </w:r>
          </w:p>
        </w:tc>
        <w:tc>
          <w:tcPr>
            <w:tcW w:w="964" w:type="dxa"/>
            <w:gridSpan w:val="2"/>
            <w:vAlign w:val="center"/>
          </w:tcPr>
          <w:p w14:paraId="1DF3F41B" w14:textId="02D58365" w:rsidR="003C66CB" w:rsidRPr="003C66CB" w:rsidRDefault="003C66CB" w:rsidP="003C66CB">
            <w:pPr>
              <w:jc w:val="right"/>
              <w:rPr>
                <w:b/>
              </w:rPr>
            </w:pPr>
            <w:r w:rsidRPr="003C66CB">
              <w:rPr>
                <w:b/>
              </w:rPr>
              <w:t>8%</w:t>
            </w:r>
          </w:p>
        </w:tc>
        <w:tc>
          <w:tcPr>
            <w:tcW w:w="964" w:type="dxa"/>
            <w:gridSpan w:val="2"/>
            <w:vAlign w:val="center"/>
          </w:tcPr>
          <w:p w14:paraId="32E884DA" w14:textId="2D0A0AE9" w:rsidR="003C66CB" w:rsidRPr="003C66CB" w:rsidRDefault="003C66CB" w:rsidP="003C66CB">
            <w:pPr>
              <w:jc w:val="right"/>
              <w:rPr>
                <w:b/>
              </w:rPr>
            </w:pPr>
            <w:r w:rsidRPr="003C66CB">
              <w:rPr>
                <w:b/>
              </w:rPr>
              <w:t>8%</w:t>
            </w:r>
          </w:p>
        </w:tc>
        <w:tc>
          <w:tcPr>
            <w:tcW w:w="964" w:type="dxa"/>
            <w:gridSpan w:val="2"/>
            <w:vAlign w:val="center"/>
          </w:tcPr>
          <w:p w14:paraId="1D3D7F41" w14:textId="4D4306D3" w:rsidR="003C66CB" w:rsidRPr="003C66CB" w:rsidRDefault="003C66CB" w:rsidP="003C66CB">
            <w:pPr>
              <w:jc w:val="right"/>
              <w:rPr>
                <w:b/>
              </w:rPr>
            </w:pPr>
            <w:r w:rsidRPr="003C66CB">
              <w:rPr>
                <w:b/>
              </w:rPr>
              <w:t>8%</w:t>
            </w:r>
          </w:p>
        </w:tc>
      </w:tr>
    </w:tbl>
    <w:p w14:paraId="35DA74C8" w14:textId="77777777" w:rsidR="004C061F" w:rsidRDefault="004C061F" w:rsidP="00DE4C4D"/>
    <w:p w14:paraId="4D671A33" w14:textId="77777777" w:rsidR="00F966E9" w:rsidRDefault="00F966E9" w:rsidP="00F966E9">
      <w:pPr>
        <w:pStyle w:val="Heading4"/>
      </w:pPr>
      <w:r>
        <w:t>Other school-age characteristics by disadvantage</w:t>
      </w:r>
    </w:p>
    <w:p w14:paraId="0764F22B" w14:textId="50657A3F" w:rsidR="00F966E9" w:rsidRDefault="00F966E9" w:rsidP="00F966E9">
      <w:r>
        <w:t xml:space="preserve">Being disadvantaged whilst at school is associated with variations in other characteristics. </w:t>
      </w:r>
      <w:r>
        <w:fldChar w:fldCharType="begin"/>
      </w:r>
      <w:r>
        <w:instrText xml:space="preserve"> REF _Ref112347632 \h </w:instrText>
      </w:r>
      <w:r>
        <w:fldChar w:fldCharType="separate"/>
      </w:r>
      <w:r w:rsidR="00882925">
        <w:t xml:space="preserve">Table </w:t>
      </w:r>
      <w:r w:rsidR="00882925">
        <w:rPr>
          <w:noProof/>
        </w:rPr>
        <w:t>7</w:t>
      </w:r>
      <w:r>
        <w:fldChar w:fldCharType="end"/>
      </w:r>
      <w:r>
        <w:t xml:space="preserve"> summarises a selection of these for the 2013 Key Stage 4 cohort.</w:t>
      </w:r>
    </w:p>
    <w:p w14:paraId="46AB14B7" w14:textId="60F53EE9" w:rsidR="00F966E9" w:rsidRDefault="00F966E9" w:rsidP="00F966E9">
      <w:r>
        <w:t>We see that the likelihood of being identified with a special educational need (SEN) whilst at school increases with increasing disadvantage, as does ever having a Statement of SEN. The most disadvantaged members of the cohort were around twice as likely as those who were never eligible for FSM to have had an identified SEN, and around three times as likely to have had a Statement of need. They were also more likely to have spent most of their school careers with an identified SEN, and to have achieved lower scores in Key Stage 2 tests in English and maths.</w:t>
      </w:r>
    </w:p>
    <w:p w14:paraId="3B7B4BE8" w14:textId="77777777" w:rsidR="00F966E9" w:rsidRPr="00A85BF7" w:rsidRDefault="00F966E9" w:rsidP="00F966E9"/>
    <w:p w14:paraId="2C469A0E" w14:textId="69662490" w:rsidR="00F966E9" w:rsidRDefault="00F966E9" w:rsidP="00F966E9">
      <w:pPr>
        <w:pStyle w:val="Caption"/>
        <w:keepNext/>
      </w:pPr>
      <w:bookmarkStart w:id="8" w:name="_Ref112347632"/>
      <w:r>
        <w:t xml:space="preserve">Table </w:t>
      </w:r>
      <w:r w:rsidR="00E14893">
        <w:fldChar w:fldCharType="begin"/>
      </w:r>
      <w:r w:rsidR="00E14893">
        <w:instrText xml:space="preserve"> SEQ Table \* ARABIC </w:instrText>
      </w:r>
      <w:r w:rsidR="00E14893">
        <w:fldChar w:fldCharType="separate"/>
      </w:r>
      <w:r w:rsidR="0005315D">
        <w:rPr>
          <w:noProof/>
        </w:rPr>
        <w:t>7</w:t>
      </w:r>
      <w:r w:rsidR="00E14893">
        <w:rPr>
          <w:noProof/>
        </w:rPr>
        <w:fldChar w:fldCharType="end"/>
      </w:r>
      <w:bookmarkEnd w:id="8"/>
      <w:r>
        <w:t xml:space="preserve">: A summary of selected school-age characteristics of the 2013 Key Stage 4 cohort by disadvantage. The percentage of the cohort who were ever identified as having any special educational needs (SEN) at school and as having SEN with a Statement of need are shown, along with the percentage who spent at least 80% of their school careers with an identified SEN (long-term SEN). Average Key Stage 2 scores in English and maths are shown in fractions of National Curriculum levels.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247"/>
        <w:gridCol w:w="1247"/>
        <w:gridCol w:w="1247"/>
        <w:gridCol w:w="1247"/>
        <w:gridCol w:w="1247"/>
        <w:gridCol w:w="1247"/>
      </w:tblGrid>
      <w:tr w:rsidR="00F966E9" w14:paraId="59152247" w14:textId="77777777" w:rsidTr="00226090">
        <w:tc>
          <w:tcPr>
            <w:tcW w:w="1474" w:type="dxa"/>
            <w:tcBorders>
              <w:bottom w:val="single" w:sz="4" w:space="0" w:color="auto"/>
            </w:tcBorders>
          </w:tcPr>
          <w:p w14:paraId="2B90E24E" w14:textId="77777777" w:rsidR="00F966E9" w:rsidRDefault="00F966E9" w:rsidP="00310702">
            <w:r w:rsidRPr="00CD5657">
              <w:t xml:space="preserve">% terms </w:t>
            </w:r>
            <w:r>
              <w:t>FSM</w:t>
            </w:r>
          </w:p>
        </w:tc>
        <w:tc>
          <w:tcPr>
            <w:tcW w:w="1247" w:type="dxa"/>
            <w:tcBorders>
              <w:bottom w:val="single" w:sz="4" w:space="0" w:color="auto"/>
            </w:tcBorders>
            <w:vAlign w:val="center"/>
          </w:tcPr>
          <w:p w14:paraId="70468E4B" w14:textId="77777777" w:rsidR="00F966E9" w:rsidRDefault="00F966E9" w:rsidP="00226090">
            <w:pPr>
              <w:jc w:val="right"/>
            </w:pPr>
            <w:r>
              <w:t>Cohort  size (000s)</w:t>
            </w:r>
          </w:p>
        </w:tc>
        <w:tc>
          <w:tcPr>
            <w:tcW w:w="1247" w:type="dxa"/>
            <w:tcBorders>
              <w:bottom w:val="single" w:sz="4" w:space="0" w:color="auto"/>
            </w:tcBorders>
            <w:vAlign w:val="center"/>
          </w:tcPr>
          <w:p w14:paraId="5DCDC9C8" w14:textId="77777777" w:rsidR="00F966E9" w:rsidRDefault="00F966E9" w:rsidP="00226090">
            <w:pPr>
              <w:jc w:val="right"/>
            </w:pPr>
            <w:r>
              <w:t>% ever SEN</w:t>
            </w:r>
          </w:p>
        </w:tc>
        <w:tc>
          <w:tcPr>
            <w:tcW w:w="1247" w:type="dxa"/>
            <w:tcBorders>
              <w:bottom w:val="single" w:sz="4" w:space="0" w:color="auto"/>
            </w:tcBorders>
            <w:vAlign w:val="center"/>
          </w:tcPr>
          <w:p w14:paraId="3AC2E548" w14:textId="77777777" w:rsidR="00F966E9" w:rsidRDefault="00F966E9" w:rsidP="00226090">
            <w:pPr>
              <w:jc w:val="right"/>
            </w:pPr>
            <w:r>
              <w:t>% ever Statement</w:t>
            </w:r>
          </w:p>
        </w:tc>
        <w:tc>
          <w:tcPr>
            <w:tcW w:w="1247" w:type="dxa"/>
            <w:tcBorders>
              <w:bottom w:val="single" w:sz="4" w:space="0" w:color="auto"/>
            </w:tcBorders>
            <w:vAlign w:val="center"/>
          </w:tcPr>
          <w:p w14:paraId="61E2DD03" w14:textId="77777777" w:rsidR="00F966E9" w:rsidRDefault="00F966E9" w:rsidP="00226090">
            <w:pPr>
              <w:jc w:val="right"/>
            </w:pPr>
            <w:r>
              <w:t>% long-term SEN</w:t>
            </w:r>
          </w:p>
        </w:tc>
        <w:tc>
          <w:tcPr>
            <w:tcW w:w="1247" w:type="dxa"/>
            <w:tcBorders>
              <w:bottom w:val="single" w:sz="4" w:space="0" w:color="auto"/>
            </w:tcBorders>
            <w:vAlign w:val="center"/>
          </w:tcPr>
          <w:p w14:paraId="57459E78" w14:textId="77777777" w:rsidR="00F966E9" w:rsidRDefault="00F966E9" w:rsidP="00226090">
            <w:pPr>
              <w:jc w:val="right"/>
            </w:pPr>
            <w:r>
              <w:t>avg KS2 English</w:t>
            </w:r>
          </w:p>
        </w:tc>
        <w:tc>
          <w:tcPr>
            <w:tcW w:w="1247" w:type="dxa"/>
            <w:tcBorders>
              <w:bottom w:val="single" w:sz="4" w:space="0" w:color="auto"/>
            </w:tcBorders>
            <w:vAlign w:val="center"/>
          </w:tcPr>
          <w:p w14:paraId="24DD4E64" w14:textId="77777777" w:rsidR="00F966E9" w:rsidRDefault="00F966E9" w:rsidP="00226090">
            <w:pPr>
              <w:jc w:val="right"/>
            </w:pPr>
            <w:r>
              <w:t>avg KS2 maths</w:t>
            </w:r>
          </w:p>
        </w:tc>
      </w:tr>
      <w:tr w:rsidR="003C66CB" w14:paraId="51AF3606" w14:textId="77777777" w:rsidTr="003C66CB">
        <w:tc>
          <w:tcPr>
            <w:tcW w:w="1474" w:type="dxa"/>
            <w:vAlign w:val="bottom"/>
          </w:tcPr>
          <w:p w14:paraId="1AD0D05E" w14:textId="77777777" w:rsidR="003C66CB" w:rsidRDefault="003C66CB" w:rsidP="003C66CB">
            <w:r w:rsidRPr="00AF4302">
              <w:rPr>
                <w:rFonts w:eastAsia="Times New Roman" w:cs="Times New Roman"/>
                <w:color w:val="000000"/>
                <w:lang w:eastAsia="en-GB"/>
              </w:rPr>
              <w:t>Never FSM</w:t>
            </w:r>
          </w:p>
        </w:tc>
        <w:tc>
          <w:tcPr>
            <w:tcW w:w="1247" w:type="dxa"/>
            <w:vAlign w:val="center"/>
          </w:tcPr>
          <w:p w14:paraId="57D66011" w14:textId="2779C39C" w:rsidR="003C66CB" w:rsidRDefault="003C66CB" w:rsidP="003C66CB">
            <w:pPr>
              <w:jc w:val="right"/>
            </w:pPr>
            <w:r w:rsidRPr="00BC5187">
              <w:t>400.0</w:t>
            </w:r>
          </w:p>
        </w:tc>
        <w:tc>
          <w:tcPr>
            <w:tcW w:w="1247" w:type="dxa"/>
            <w:vAlign w:val="center"/>
          </w:tcPr>
          <w:p w14:paraId="563055AC" w14:textId="2B69EBB4" w:rsidR="003C66CB" w:rsidRDefault="003C66CB" w:rsidP="003C66CB">
            <w:pPr>
              <w:jc w:val="right"/>
            </w:pPr>
            <w:r w:rsidRPr="00247372">
              <w:t>33%</w:t>
            </w:r>
          </w:p>
        </w:tc>
        <w:tc>
          <w:tcPr>
            <w:tcW w:w="1247" w:type="dxa"/>
            <w:vAlign w:val="center"/>
          </w:tcPr>
          <w:p w14:paraId="17539E19" w14:textId="7FC43063" w:rsidR="003C66CB" w:rsidRDefault="003C66CB" w:rsidP="003C66CB">
            <w:pPr>
              <w:jc w:val="right"/>
            </w:pPr>
            <w:r w:rsidRPr="00247372">
              <w:t>3%</w:t>
            </w:r>
          </w:p>
        </w:tc>
        <w:tc>
          <w:tcPr>
            <w:tcW w:w="1247" w:type="dxa"/>
            <w:vAlign w:val="center"/>
          </w:tcPr>
          <w:p w14:paraId="7DE4ED29" w14:textId="0CE3E32A" w:rsidR="003C66CB" w:rsidRDefault="003C66CB" w:rsidP="003C66CB">
            <w:pPr>
              <w:jc w:val="right"/>
            </w:pPr>
            <w:r w:rsidRPr="00247372">
              <w:t>5%</w:t>
            </w:r>
          </w:p>
        </w:tc>
        <w:tc>
          <w:tcPr>
            <w:tcW w:w="1247" w:type="dxa"/>
            <w:vAlign w:val="center"/>
          </w:tcPr>
          <w:p w14:paraId="526B340E" w14:textId="77777777" w:rsidR="003C66CB" w:rsidRDefault="003C66CB" w:rsidP="003C66CB">
            <w:pPr>
              <w:jc w:val="right"/>
            </w:pPr>
            <w:r w:rsidRPr="00CD5657">
              <w:t>4.64</w:t>
            </w:r>
          </w:p>
        </w:tc>
        <w:tc>
          <w:tcPr>
            <w:tcW w:w="1247" w:type="dxa"/>
            <w:vAlign w:val="center"/>
          </w:tcPr>
          <w:p w14:paraId="75B8E828" w14:textId="77777777" w:rsidR="003C66CB" w:rsidRDefault="003C66CB" w:rsidP="003C66CB">
            <w:pPr>
              <w:jc w:val="right"/>
            </w:pPr>
            <w:r w:rsidRPr="00CD5657">
              <w:t>4.68</w:t>
            </w:r>
          </w:p>
        </w:tc>
      </w:tr>
      <w:tr w:rsidR="003C66CB" w14:paraId="536A737C" w14:textId="77777777" w:rsidTr="003C66CB">
        <w:tc>
          <w:tcPr>
            <w:tcW w:w="1474" w:type="dxa"/>
            <w:vAlign w:val="bottom"/>
          </w:tcPr>
          <w:p w14:paraId="49B868CF" w14:textId="77777777" w:rsidR="003C66CB" w:rsidRDefault="003C66CB" w:rsidP="003C66CB">
            <w:r w:rsidRPr="00AF4302">
              <w:rPr>
                <w:rFonts w:eastAsia="Times New Roman" w:cs="Times New Roman"/>
                <w:color w:val="000000"/>
                <w:lang w:eastAsia="en-GB"/>
              </w:rPr>
              <w:t>&lt;=25%</w:t>
            </w:r>
          </w:p>
        </w:tc>
        <w:tc>
          <w:tcPr>
            <w:tcW w:w="1247" w:type="dxa"/>
            <w:vAlign w:val="center"/>
          </w:tcPr>
          <w:p w14:paraId="4299A4DE" w14:textId="35ECFD7E" w:rsidR="003C66CB" w:rsidRDefault="003C66CB" w:rsidP="003C66CB">
            <w:pPr>
              <w:jc w:val="right"/>
            </w:pPr>
            <w:r w:rsidRPr="00BC5187">
              <w:t>53.4</w:t>
            </w:r>
          </w:p>
        </w:tc>
        <w:tc>
          <w:tcPr>
            <w:tcW w:w="1247" w:type="dxa"/>
            <w:vAlign w:val="center"/>
          </w:tcPr>
          <w:p w14:paraId="1B56A00F" w14:textId="7DAC1A70" w:rsidR="003C66CB" w:rsidRDefault="003C66CB" w:rsidP="003C66CB">
            <w:pPr>
              <w:jc w:val="right"/>
            </w:pPr>
            <w:r w:rsidRPr="00247372">
              <w:t>51%</w:t>
            </w:r>
          </w:p>
        </w:tc>
        <w:tc>
          <w:tcPr>
            <w:tcW w:w="1247" w:type="dxa"/>
            <w:vAlign w:val="center"/>
          </w:tcPr>
          <w:p w14:paraId="654716E5" w14:textId="03535F5F" w:rsidR="003C66CB" w:rsidRDefault="003C66CB" w:rsidP="003C66CB">
            <w:pPr>
              <w:jc w:val="right"/>
            </w:pPr>
            <w:r w:rsidRPr="00247372">
              <w:t>5%</w:t>
            </w:r>
          </w:p>
        </w:tc>
        <w:tc>
          <w:tcPr>
            <w:tcW w:w="1247" w:type="dxa"/>
            <w:vAlign w:val="center"/>
          </w:tcPr>
          <w:p w14:paraId="734638EA" w14:textId="007829C9" w:rsidR="003C66CB" w:rsidRDefault="003C66CB" w:rsidP="003C66CB">
            <w:pPr>
              <w:jc w:val="right"/>
            </w:pPr>
            <w:r w:rsidRPr="00247372">
              <w:t>8%</w:t>
            </w:r>
          </w:p>
        </w:tc>
        <w:tc>
          <w:tcPr>
            <w:tcW w:w="1247" w:type="dxa"/>
            <w:vAlign w:val="center"/>
          </w:tcPr>
          <w:p w14:paraId="68024E29" w14:textId="77777777" w:rsidR="003C66CB" w:rsidRDefault="003C66CB" w:rsidP="003C66CB">
            <w:pPr>
              <w:jc w:val="right"/>
            </w:pPr>
            <w:r w:rsidRPr="00CD5657">
              <w:t>4.37</w:t>
            </w:r>
          </w:p>
        </w:tc>
        <w:tc>
          <w:tcPr>
            <w:tcW w:w="1247" w:type="dxa"/>
            <w:vAlign w:val="center"/>
          </w:tcPr>
          <w:p w14:paraId="3B7D5D20" w14:textId="77777777" w:rsidR="003C66CB" w:rsidRDefault="003C66CB" w:rsidP="003C66CB">
            <w:pPr>
              <w:jc w:val="right"/>
            </w:pPr>
            <w:r w:rsidRPr="00CD5657">
              <w:t>4.38</w:t>
            </w:r>
          </w:p>
        </w:tc>
      </w:tr>
      <w:tr w:rsidR="003C66CB" w14:paraId="5664D7D6" w14:textId="77777777" w:rsidTr="003C66CB">
        <w:tc>
          <w:tcPr>
            <w:tcW w:w="1474" w:type="dxa"/>
            <w:vAlign w:val="bottom"/>
          </w:tcPr>
          <w:p w14:paraId="35DD343D" w14:textId="77777777" w:rsidR="003C66CB" w:rsidRDefault="003C66CB" w:rsidP="003C66CB">
            <w:r w:rsidRPr="00AF4302">
              <w:rPr>
                <w:rFonts w:eastAsia="Times New Roman" w:cs="Times New Roman"/>
                <w:color w:val="000000"/>
                <w:lang w:eastAsia="en-GB"/>
              </w:rPr>
              <w:t xml:space="preserve">25% to 50% </w:t>
            </w:r>
          </w:p>
        </w:tc>
        <w:tc>
          <w:tcPr>
            <w:tcW w:w="1247" w:type="dxa"/>
            <w:vAlign w:val="center"/>
          </w:tcPr>
          <w:p w14:paraId="0229D9FC" w14:textId="38101D56" w:rsidR="003C66CB" w:rsidRDefault="003C66CB" w:rsidP="003C66CB">
            <w:pPr>
              <w:jc w:val="right"/>
            </w:pPr>
            <w:r w:rsidRPr="00BC5187">
              <w:t>48.0</w:t>
            </w:r>
          </w:p>
        </w:tc>
        <w:tc>
          <w:tcPr>
            <w:tcW w:w="1247" w:type="dxa"/>
            <w:vAlign w:val="center"/>
          </w:tcPr>
          <w:p w14:paraId="1A9C5983" w14:textId="7D8BF66E" w:rsidR="003C66CB" w:rsidRDefault="003C66CB" w:rsidP="003C66CB">
            <w:pPr>
              <w:jc w:val="right"/>
            </w:pPr>
            <w:r w:rsidRPr="00247372">
              <w:t>57%</w:t>
            </w:r>
          </w:p>
        </w:tc>
        <w:tc>
          <w:tcPr>
            <w:tcW w:w="1247" w:type="dxa"/>
            <w:vAlign w:val="center"/>
          </w:tcPr>
          <w:p w14:paraId="7B22BC92" w14:textId="47F3D09F" w:rsidR="003C66CB" w:rsidRDefault="003C66CB" w:rsidP="003C66CB">
            <w:pPr>
              <w:jc w:val="right"/>
            </w:pPr>
            <w:r w:rsidRPr="00247372">
              <w:t>7%</w:t>
            </w:r>
          </w:p>
        </w:tc>
        <w:tc>
          <w:tcPr>
            <w:tcW w:w="1247" w:type="dxa"/>
            <w:vAlign w:val="center"/>
          </w:tcPr>
          <w:p w14:paraId="7EA936E7" w14:textId="19C6BBBD" w:rsidR="003C66CB" w:rsidRDefault="003C66CB" w:rsidP="003C66CB">
            <w:pPr>
              <w:jc w:val="right"/>
            </w:pPr>
            <w:r w:rsidRPr="00247372">
              <w:t>10%</w:t>
            </w:r>
          </w:p>
        </w:tc>
        <w:tc>
          <w:tcPr>
            <w:tcW w:w="1247" w:type="dxa"/>
            <w:vAlign w:val="center"/>
          </w:tcPr>
          <w:p w14:paraId="3CAC4483" w14:textId="77777777" w:rsidR="003C66CB" w:rsidRDefault="003C66CB" w:rsidP="003C66CB">
            <w:pPr>
              <w:jc w:val="right"/>
            </w:pPr>
            <w:r w:rsidRPr="00CD5657">
              <w:t>4.28</w:t>
            </w:r>
          </w:p>
        </w:tc>
        <w:tc>
          <w:tcPr>
            <w:tcW w:w="1247" w:type="dxa"/>
            <w:vAlign w:val="center"/>
          </w:tcPr>
          <w:p w14:paraId="37CD3486" w14:textId="77777777" w:rsidR="003C66CB" w:rsidRDefault="003C66CB" w:rsidP="003C66CB">
            <w:pPr>
              <w:jc w:val="right"/>
            </w:pPr>
            <w:r w:rsidRPr="00CD5657">
              <w:t>4.29</w:t>
            </w:r>
          </w:p>
        </w:tc>
      </w:tr>
      <w:tr w:rsidR="003C66CB" w14:paraId="68ACBE1E" w14:textId="77777777" w:rsidTr="003C66CB">
        <w:tc>
          <w:tcPr>
            <w:tcW w:w="1474" w:type="dxa"/>
            <w:vAlign w:val="bottom"/>
          </w:tcPr>
          <w:p w14:paraId="75B920CE" w14:textId="77777777" w:rsidR="003C66CB" w:rsidRDefault="003C66CB" w:rsidP="003C66CB">
            <w:r w:rsidRPr="00AF4302">
              <w:rPr>
                <w:rFonts w:eastAsia="Times New Roman" w:cs="Times New Roman"/>
                <w:color w:val="000000"/>
                <w:lang w:eastAsia="en-GB"/>
              </w:rPr>
              <w:t>50% to 80%</w:t>
            </w:r>
          </w:p>
        </w:tc>
        <w:tc>
          <w:tcPr>
            <w:tcW w:w="1247" w:type="dxa"/>
            <w:vAlign w:val="center"/>
          </w:tcPr>
          <w:p w14:paraId="5A2C6689" w14:textId="4EF54E6D" w:rsidR="003C66CB" w:rsidRDefault="003C66CB" w:rsidP="003C66CB">
            <w:pPr>
              <w:jc w:val="right"/>
            </w:pPr>
            <w:r w:rsidRPr="00BC5187">
              <w:t>48.7</w:t>
            </w:r>
          </w:p>
        </w:tc>
        <w:tc>
          <w:tcPr>
            <w:tcW w:w="1247" w:type="dxa"/>
            <w:vAlign w:val="center"/>
          </w:tcPr>
          <w:p w14:paraId="74667E97" w14:textId="0BB57D37" w:rsidR="003C66CB" w:rsidRDefault="003C66CB" w:rsidP="003C66CB">
            <w:pPr>
              <w:jc w:val="right"/>
            </w:pPr>
            <w:r w:rsidRPr="00247372">
              <w:t>64%</w:t>
            </w:r>
          </w:p>
        </w:tc>
        <w:tc>
          <w:tcPr>
            <w:tcW w:w="1247" w:type="dxa"/>
            <w:vAlign w:val="center"/>
          </w:tcPr>
          <w:p w14:paraId="1B136B7B" w14:textId="00A0FCA9" w:rsidR="003C66CB" w:rsidRDefault="003C66CB" w:rsidP="003C66CB">
            <w:pPr>
              <w:jc w:val="right"/>
            </w:pPr>
            <w:r w:rsidRPr="00247372">
              <w:t>8%</w:t>
            </w:r>
          </w:p>
        </w:tc>
        <w:tc>
          <w:tcPr>
            <w:tcW w:w="1247" w:type="dxa"/>
            <w:vAlign w:val="center"/>
          </w:tcPr>
          <w:p w14:paraId="530F14A4" w14:textId="79E40037" w:rsidR="003C66CB" w:rsidRDefault="003C66CB" w:rsidP="003C66CB">
            <w:pPr>
              <w:jc w:val="right"/>
            </w:pPr>
            <w:r w:rsidRPr="00247372">
              <w:t>12%</w:t>
            </w:r>
          </w:p>
        </w:tc>
        <w:tc>
          <w:tcPr>
            <w:tcW w:w="1247" w:type="dxa"/>
            <w:vAlign w:val="center"/>
          </w:tcPr>
          <w:p w14:paraId="0497B1F2" w14:textId="77777777" w:rsidR="003C66CB" w:rsidRDefault="003C66CB" w:rsidP="003C66CB">
            <w:pPr>
              <w:jc w:val="right"/>
            </w:pPr>
            <w:r w:rsidRPr="00CD5657">
              <w:t>4.17</w:t>
            </w:r>
          </w:p>
        </w:tc>
        <w:tc>
          <w:tcPr>
            <w:tcW w:w="1247" w:type="dxa"/>
            <w:vAlign w:val="center"/>
          </w:tcPr>
          <w:p w14:paraId="4A9246A3" w14:textId="77777777" w:rsidR="003C66CB" w:rsidRDefault="003C66CB" w:rsidP="003C66CB">
            <w:pPr>
              <w:jc w:val="right"/>
            </w:pPr>
            <w:r w:rsidRPr="00CD5657">
              <w:t>4.19</w:t>
            </w:r>
          </w:p>
        </w:tc>
      </w:tr>
      <w:tr w:rsidR="003C66CB" w14:paraId="17BA1DE4" w14:textId="77777777" w:rsidTr="003C66CB">
        <w:tc>
          <w:tcPr>
            <w:tcW w:w="1474" w:type="dxa"/>
            <w:vAlign w:val="bottom"/>
          </w:tcPr>
          <w:p w14:paraId="46067C1C" w14:textId="77777777" w:rsidR="003C66CB" w:rsidRDefault="003C66CB" w:rsidP="003C66CB">
            <w:r w:rsidRPr="00AF4302">
              <w:rPr>
                <w:rFonts w:eastAsia="Times New Roman" w:cs="Times New Roman"/>
                <w:color w:val="000000"/>
                <w:lang w:eastAsia="en-GB"/>
              </w:rPr>
              <w:t>80% or more</w:t>
            </w:r>
          </w:p>
        </w:tc>
        <w:tc>
          <w:tcPr>
            <w:tcW w:w="1247" w:type="dxa"/>
            <w:vAlign w:val="center"/>
          </w:tcPr>
          <w:p w14:paraId="01D417A4" w14:textId="15BC6189" w:rsidR="003C66CB" w:rsidRDefault="003C66CB" w:rsidP="003C66CB">
            <w:pPr>
              <w:jc w:val="right"/>
            </w:pPr>
            <w:r w:rsidRPr="00BC5187">
              <w:t>49.2</w:t>
            </w:r>
          </w:p>
        </w:tc>
        <w:tc>
          <w:tcPr>
            <w:tcW w:w="1247" w:type="dxa"/>
            <w:vAlign w:val="center"/>
          </w:tcPr>
          <w:p w14:paraId="409B9D69" w14:textId="2087C84F" w:rsidR="003C66CB" w:rsidRDefault="003C66CB" w:rsidP="003C66CB">
            <w:pPr>
              <w:jc w:val="right"/>
            </w:pPr>
            <w:r w:rsidRPr="00247372">
              <w:t>69%</w:t>
            </w:r>
          </w:p>
        </w:tc>
        <w:tc>
          <w:tcPr>
            <w:tcW w:w="1247" w:type="dxa"/>
            <w:vAlign w:val="center"/>
          </w:tcPr>
          <w:p w14:paraId="2CF28CC8" w14:textId="1C3BB1CD" w:rsidR="003C66CB" w:rsidRDefault="003C66CB" w:rsidP="003C66CB">
            <w:pPr>
              <w:jc w:val="right"/>
            </w:pPr>
            <w:r w:rsidRPr="00247372">
              <w:t>10%</w:t>
            </w:r>
          </w:p>
        </w:tc>
        <w:tc>
          <w:tcPr>
            <w:tcW w:w="1247" w:type="dxa"/>
            <w:vAlign w:val="center"/>
          </w:tcPr>
          <w:p w14:paraId="700F91A5" w14:textId="3AB9CD8A" w:rsidR="003C66CB" w:rsidRDefault="003C66CB" w:rsidP="003C66CB">
            <w:pPr>
              <w:jc w:val="right"/>
            </w:pPr>
            <w:r w:rsidRPr="00247372">
              <w:t>15%</w:t>
            </w:r>
          </w:p>
        </w:tc>
        <w:tc>
          <w:tcPr>
            <w:tcW w:w="1247" w:type="dxa"/>
            <w:vAlign w:val="center"/>
          </w:tcPr>
          <w:p w14:paraId="2053619A" w14:textId="77777777" w:rsidR="003C66CB" w:rsidRDefault="003C66CB" w:rsidP="003C66CB">
            <w:pPr>
              <w:jc w:val="right"/>
            </w:pPr>
            <w:r w:rsidRPr="00CD5657">
              <w:t>4.03</w:t>
            </w:r>
          </w:p>
        </w:tc>
        <w:tc>
          <w:tcPr>
            <w:tcW w:w="1247" w:type="dxa"/>
            <w:vAlign w:val="center"/>
          </w:tcPr>
          <w:p w14:paraId="39D411C2" w14:textId="77777777" w:rsidR="003C66CB" w:rsidRDefault="003C66CB" w:rsidP="003C66CB">
            <w:pPr>
              <w:jc w:val="right"/>
            </w:pPr>
            <w:r w:rsidRPr="00CD5657">
              <w:t>4.07</w:t>
            </w:r>
          </w:p>
        </w:tc>
      </w:tr>
      <w:tr w:rsidR="003C66CB" w14:paraId="49BCCA08" w14:textId="77777777" w:rsidTr="003C66CB">
        <w:tc>
          <w:tcPr>
            <w:tcW w:w="1474" w:type="dxa"/>
            <w:vAlign w:val="bottom"/>
          </w:tcPr>
          <w:p w14:paraId="5A196235" w14:textId="77777777" w:rsidR="003C66CB" w:rsidRPr="000C7D59" w:rsidRDefault="003C66CB" w:rsidP="003C66CB">
            <w:pPr>
              <w:rPr>
                <w:b/>
              </w:rPr>
            </w:pPr>
            <w:r w:rsidRPr="000C7D59">
              <w:rPr>
                <w:rFonts w:eastAsia="Times New Roman" w:cs="Times New Roman"/>
                <w:b/>
                <w:color w:val="000000"/>
                <w:lang w:eastAsia="en-GB"/>
              </w:rPr>
              <w:t>Total</w:t>
            </w:r>
          </w:p>
        </w:tc>
        <w:tc>
          <w:tcPr>
            <w:tcW w:w="1247" w:type="dxa"/>
            <w:vAlign w:val="center"/>
          </w:tcPr>
          <w:p w14:paraId="1AD975CE" w14:textId="676D2632" w:rsidR="003C66CB" w:rsidRPr="00226090" w:rsidRDefault="003C66CB" w:rsidP="003C66CB">
            <w:pPr>
              <w:jc w:val="right"/>
              <w:rPr>
                <w:b/>
              </w:rPr>
            </w:pPr>
            <w:r w:rsidRPr="00226090">
              <w:rPr>
                <w:b/>
              </w:rPr>
              <w:t>599.3</w:t>
            </w:r>
          </w:p>
        </w:tc>
        <w:tc>
          <w:tcPr>
            <w:tcW w:w="1247" w:type="dxa"/>
            <w:vAlign w:val="center"/>
          </w:tcPr>
          <w:p w14:paraId="23891E8E" w14:textId="2C20BC92" w:rsidR="003C66CB" w:rsidRPr="003C66CB" w:rsidRDefault="003C66CB" w:rsidP="003C66CB">
            <w:pPr>
              <w:jc w:val="right"/>
              <w:rPr>
                <w:b/>
              </w:rPr>
            </w:pPr>
            <w:r w:rsidRPr="003C66CB">
              <w:rPr>
                <w:b/>
              </w:rPr>
              <w:t>42%</w:t>
            </w:r>
          </w:p>
        </w:tc>
        <w:tc>
          <w:tcPr>
            <w:tcW w:w="1247" w:type="dxa"/>
            <w:vAlign w:val="center"/>
          </w:tcPr>
          <w:p w14:paraId="5E65E255" w14:textId="2F47412F" w:rsidR="003C66CB" w:rsidRPr="003C66CB" w:rsidRDefault="003C66CB" w:rsidP="003C66CB">
            <w:pPr>
              <w:jc w:val="right"/>
              <w:rPr>
                <w:b/>
              </w:rPr>
            </w:pPr>
            <w:r w:rsidRPr="003C66CB">
              <w:rPr>
                <w:b/>
              </w:rPr>
              <w:t>5%</w:t>
            </w:r>
          </w:p>
        </w:tc>
        <w:tc>
          <w:tcPr>
            <w:tcW w:w="1247" w:type="dxa"/>
            <w:vAlign w:val="center"/>
          </w:tcPr>
          <w:p w14:paraId="05A8D24A" w14:textId="1C64D460" w:rsidR="003C66CB" w:rsidRPr="003C66CB" w:rsidRDefault="003C66CB" w:rsidP="003C66CB">
            <w:pPr>
              <w:jc w:val="right"/>
              <w:rPr>
                <w:b/>
              </w:rPr>
            </w:pPr>
            <w:r w:rsidRPr="003C66CB">
              <w:rPr>
                <w:b/>
              </w:rPr>
              <w:t>7%</w:t>
            </w:r>
          </w:p>
        </w:tc>
        <w:tc>
          <w:tcPr>
            <w:tcW w:w="1247" w:type="dxa"/>
            <w:vAlign w:val="center"/>
          </w:tcPr>
          <w:p w14:paraId="38981A94" w14:textId="77777777" w:rsidR="003C66CB" w:rsidRPr="000C7D59" w:rsidRDefault="003C66CB" w:rsidP="003C66CB">
            <w:pPr>
              <w:jc w:val="right"/>
              <w:rPr>
                <w:b/>
              </w:rPr>
            </w:pPr>
            <w:r w:rsidRPr="000C7D59">
              <w:rPr>
                <w:b/>
              </w:rPr>
              <w:t>4.50</w:t>
            </w:r>
          </w:p>
        </w:tc>
        <w:tc>
          <w:tcPr>
            <w:tcW w:w="1247" w:type="dxa"/>
            <w:vAlign w:val="center"/>
          </w:tcPr>
          <w:p w14:paraId="3E40745C" w14:textId="77777777" w:rsidR="003C66CB" w:rsidRPr="000C7D59" w:rsidRDefault="003C66CB" w:rsidP="003C66CB">
            <w:pPr>
              <w:jc w:val="right"/>
              <w:rPr>
                <w:b/>
              </w:rPr>
            </w:pPr>
            <w:r w:rsidRPr="000C7D59">
              <w:rPr>
                <w:b/>
              </w:rPr>
              <w:t>4.53</w:t>
            </w:r>
          </w:p>
        </w:tc>
      </w:tr>
    </w:tbl>
    <w:p w14:paraId="6A9F8239" w14:textId="77777777" w:rsidR="00F966E9" w:rsidRDefault="00F966E9" w:rsidP="00F966E9"/>
    <w:p w14:paraId="7C36A957" w14:textId="7CF94426" w:rsidR="004C061F" w:rsidRDefault="004C061F" w:rsidP="00DE4C4D"/>
    <w:p w14:paraId="01B858D3" w14:textId="1834433D" w:rsidR="00E74338" w:rsidRDefault="00E74338" w:rsidP="00DE4C4D"/>
    <w:p w14:paraId="7713520E" w14:textId="5AC19845" w:rsidR="00C1659E" w:rsidRDefault="00346ED9" w:rsidP="004851C1">
      <w:pPr>
        <w:pStyle w:val="Heading3"/>
      </w:pPr>
      <w:r>
        <w:lastRenderedPageBreak/>
        <w:t>3</w:t>
      </w:r>
      <w:r w:rsidR="00492796">
        <w:t xml:space="preserve">.2. </w:t>
      </w:r>
      <w:r w:rsidR="00016A8A" w:rsidRPr="00AF4302">
        <w:t>Long-term outcomes</w:t>
      </w:r>
    </w:p>
    <w:p w14:paraId="0F372E71" w14:textId="123BD929" w:rsidR="00016A8A" w:rsidRDefault="00016A8A" w:rsidP="00016A8A">
      <w:pPr>
        <w:pStyle w:val="Heading4"/>
        <w:rPr>
          <w:rFonts w:ascii="Avenir LT Std 35 Light" w:hAnsi="Avenir LT Std 35 Light"/>
        </w:rPr>
      </w:pPr>
      <w:r w:rsidRPr="00AF4302">
        <w:rPr>
          <w:rFonts w:ascii="Avenir LT Std 35 Light" w:hAnsi="Avenir LT Std 35 Light"/>
        </w:rPr>
        <w:t>The likelihood of being</w:t>
      </w:r>
      <w:r w:rsidR="006D7D41" w:rsidRPr="00AF4302">
        <w:rPr>
          <w:rFonts w:ascii="Avenir LT Std 35 Light" w:hAnsi="Avenir LT Std 35 Light"/>
        </w:rPr>
        <w:t xml:space="preserve"> in a sustained positive destination at age 22</w:t>
      </w:r>
    </w:p>
    <w:p w14:paraId="1D06B71D" w14:textId="77777777" w:rsidR="00A136A6" w:rsidRPr="00A136A6" w:rsidRDefault="00A136A6" w:rsidP="00A136A6"/>
    <w:p w14:paraId="08B8E2DC" w14:textId="5F6048EF" w:rsidR="006D7D41" w:rsidRPr="00AF4302" w:rsidRDefault="003C66CB" w:rsidP="00A136A6">
      <w:pPr>
        <w:keepNext/>
        <w:jc w:val="center"/>
      </w:pPr>
      <w:r>
        <w:rPr>
          <w:noProof/>
          <w:lang w:eastAsia="en-GB"/>
        </w:rPr>
        <w:drawing>
          <wp:inline distT="0" distB="0" distL="0" distR="0" wp14:anchorId="0BDAE7DF" wp14:editId="46CAC6EA">
            <wp:extent cx="5731510" cy="37439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_2_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28792F12" w14:textId="2623F2A9" w:rsidR="006D7D41" w:rsidRPr="00AF4302" w:rsidRDefault="006D7D41" w:rsidP="006D7D41">
      <w:pPr>
        <w:pStyle w:val="Caption"/>
      </w:pPr>
      <w:bookmarkStart w:id="9" w:name="_Ref112345691"/>
      <w:r w:rsidRPr="00AF4302">
        <w:t xml:space="preserve">Figure </w:t>
      </w:r>
      <w:r w:rsidR="00E14893">
        <w:fldChar w:fldCharType="begin"/>
      </w:r>
      <w:r w:rsidR="00E14893">
        <w:instrText xml:space="preserve"> SEQ Figure \* ARABIC </w:instrText>
      </w:r>
      <w:r w:rsidR="00E14893">
        <w:fldChar w:fldCharType="separate"/>
      </w:r>
      <w:r w:rsidR="00080770">
        <w:rPr>
          <w:noProof/>
        </w:rPr>
        <w:t>1</w:t>
      </w:r>
      <w:r w:rsidR="00E14893">
        <w:rPr>
          <w:noProof/>
        </w:rPr>
        <w:fldChar w:fldCharType="end"/>
      </w:r>
      <w:bookmarkEnd w:id="9"/>
      <w:r w:rsidRPr="00AF4302">
        <w:t xml:space="preserve">: Chart showing the proportion of the 2013 </w:t>
      </w:r>
      <w:r w:rsidR="00DD4C11">
        <w:t xml:space="preserve">Key Stage 4 </w:t>
      </w:r>
      <w:r w:rsidRPr="00AF4302">
        <w:t>cohort who were observed in a positive destination at age 22</w:t>
      </w:r>
      <w:r w:rsidR="00974792" w:rsidRPr="00AF4302">
        <w:t xml:space="preserve"> by disadvantage</w:t>
      </w:r>
      <w:r w:rsidRPr="00AF4302">
        <w:t>. A positive destination is defined as being either in employment or enrolled at an education institution for at least 180 days.</w:t>
      </w:r>
    </w:p>
    <w:p w14:paraId="63B709C1" w14:textId="2E6D3169" w:rsidR="00763626" w:rsidRPr="00AF4302" w:rsidRDefault="00715584" w:rsidP="00715584">
      <w:r w:rsidRPr="00AF4302">
        <w:t xml:space="preserve">We begin by investigating how the likelihood of being observed in a sustained positive destination at age 22 varies by disadvantage. </w:t>
      </w:r>
      <w:r w:rsidR="000D4A1D">
        <w:fldChar w:fldCharType="begin"/>
      </w:r>
      <w:r w:rsidR="000D4A1D">
        <w:instrText xml:space="preserve"> REF _Ref112345691 \h </w:instrText>
      </w:r>
      <w:r w:rsidR="000D4A1D">
        <w:fldChar w:fldCharType="separate"/>
      </w:r>
      <w:r w:rsidR="00882925" w:rsidRPr="00AF4302">
        <w:t xml:space="preserve">Figure </w:t>
      </w:r>
      <w:r w:rsidR="00882925">
        <w:rPr>
          <w:noProof/>
        </w:rPr>
        <w:t>1</w:t>
      </w:r>
      <w:r w:rsidR="000D4A1D">
        <w:fldChar w:fldCharType="end"/>
      </w:r>
      <w:r w:rsidR="000D4A1D">
        <w:t xml:space="preserve"> </w:t>
      </w:r>
      <w:r w:rsidRPr="00AF4302">
        <w:t xml:space="preserve">shows the results of this measure for the </w:t>
      </w:r>
      <w:r w:rsidR="005A04EC">
        <w:t xml:space="preserve">2013 cohort </w:t>
      </w:r>
      <w:r w:rsidRPr="00AF4302">
        <w:t>overall</w:t>
      </w:r>
      <w:r w:rsidR="00763626" w:rsidRPr="00AF4302">
        <w:t xml:space="preserve"> and </w:t>
      </w:r>
      <w:r w:rsidR="00B65D6E">
        <w:t>by disadvantage</w:t>
      </w:r>
      <w:r w:rsidR="00763626" w:rsidRPr="00AF4302">
        <w:t>.</w:t>
      </w:r>
      <w:r w:rsidRPr="00AF4302">
        <w:t xml:space="preserve">  </w:t>
      </w:r>
    </w:p>
    <w:p w14:paraId="241DB418" w14:textId="542EA3A2" w:rsidR="00E35B33" w:rsidRPr="00AF4302" w:rsidRDefault="00763626" w:rsidP="00715584">
      <w:r w:rsidRPr="00AF4302">
        <w:t>We see a clear relationship, with greater disadvantage associated with a lower likelihood of being observed in a sustained positive destination</w:t>
      </w:r>
      <w:r w:rsidR="00E35B33" w:rsidRPr="00AF4302">
        <w:t xml:space="preserve">. </w:t>
      </w:r>
      <w:r w:rsidR="0021792A">
        <w:t>Long-term</w:t>
      </w:r>
      <w:r w:rsidR="00AF4302">
        <w:t xml:space="preserve"> disadvantaged pupils were around 30% less likely to go on to a sustained positive destination than </w:t>
      </w:r>
      <w:r w:rsidRPr="00AF4302">
        <w:t>those who had</w:t>
      </w:r>
      <w:r w:rsidR="00AF4302">
        <w:t xml:space="preserve"> never</w:t>
      </w:r>
      <w:r w:rsidRPr="00AF4302">
        <w:t xml:space="preserve"> been eligible for</w:t>
      </w:r>
      <w:r w:rsidR="00E35B33" w:rsidRPr="00AF4302">
        <w:t xml:space="preserve"> FSM</w:t>
      </w:r>
      <w:r w:rsidR="00476FA5">
        <w:t xml:space="preserve"> (61% vs </w:t>
      </w:r>
      <w:r w:rsidR="009A7B74">
        <w:t>85</w:t>
      </w:r>
      <w:r w:rsidR="00476FA5">
        <w:t>%, respectively)</w:t>
      </w:r>
      <w:r w:rsidR="00AF4302">
        <w:t xml:space="preserve">, </w:t>
      </w:r>
      <w:r w:rsidR="00476FA5">
        <w:t xml:space="preserve">and around 20% less likely than </w:t>
      </w:r>
      <w:r w:rsidR="00AF4302">
        <w:t>those who had been eligible for FSM for the shortest period</w:t>
      </w:r>
      <w:r w:rsidR="00476FA5">
        <w:t xml:space="preserve"> (</w:t>
      </w:r>
      <w:r w:rsidR="0021792A">
        <w:t xml:space="preserve">61% vs </w:t>
      </w:r>
      <w:r w:rsidR="009A7B74">
        <w:t>76</w:t>
      </w:r>
      <w:r w:rsidR="00476FA5">
        <w:t>%).</w:t>
      </w:r>
    </w:p>
    <w:p w14:paraId="0FFD34AA" w14:textId="5548CFC4" w:rsidR="00E35B33" w:rsidRDefault="00E35B33" w:rsidP="00A55963">
      <w:r w:rsidRPr="00AF4302">
        <w:t>Looking at employment and education separately, t</w:t>
      </w:r>
      <w:r w:rsidR="00A55963" w:rsidRPr="00AF4302">
        <w:t xml:space="preserve">he same pattern </w:t>
      </w:r>
      <w:r w:rsidR="00B65D6E">
        <w:t>i</w:t>
      </w:r>
      <w:r w:rsidR="00A55963" w:rsidRPr="00AF4302">
        <w:t>s evident.</w:t>
      </w:r>
      <w:r w:rsidR="00D942E7">
        <w:t xml:space="preserve"> </w:t>
      </w:r>
      <w:r w:rsidR="0021792A">
        <w:t>Long-term</w:t>
      </w:r>
      <w:r w:rsidR="00D942E7">
        <w:t xml:space="preserve"> disadvantaged pupils were around 50% less likely to be observed in </w:t>
      </w:r>
      <w:r w:rsidR="006C7BE6">
        <w:t>h</w:t>
      </w:r>
      <w:r w:rsidR="00D942E7">
        <w:t xml:space="preserve">igher </w:t>
      </w:r>
      <w:r w:rsidR="006C7BE6">
        <w:t>e</w:t>
      </w:r>
      <w:r w:rsidR="00D942E7">
        <w:t xml:space="preserve">ducation for a sustained period and around 30% less likely to be in employment </w:t>
      </w:r>
      <w:r w:rsidR="00B65D6E">
        <w:t xml:space="preserve">for a sustained period </w:t>
      </w:r>
      <w:r w:rsidR="00D942E7">
        <w:t xml:space="preserve">than those who had never been eligible for FSM. </w:t>
      </w:r>
      <w:r w:rsidR="00AF4302">
        <w:t>These results are summarised in</w:t>
      </w:r>
      <w:r w:rsidR="00960F8F">
        <w:t xml:space="preserve"> </w:t>
      </w:r>
      <w:r w:rsidR="00960F8F">
        <w:fldChar w:fldCharType="begin"/>
      </w:r>
      <w:r w:rsidR="00960F8F">
        <w:instrText xml:space="preserve"> REF _Ref112345712 \h </w:instrText>
      </w:r>
      <w:r w:rsidR="00960F8F">
        <w:fldChar w:fldCharType="separate"/>
      </w:r>
      <w:r w:rsidR="00882925">
        <w:t xml:space="preserve">Table </w:t>
      </w:r>
      <w:r w:rsidR="00882925">
        <w:rPr>
          <w:noProof/>
        </w:rPr>
        <w:t>8</w:t>
      </w:r>
      <w:r w:rsidR="00960F8F">
        <w:fldChar w:fldCharType="end"/>
      </w:r>
      <w:r w:rsidR="00F966E9">
        <w:t xml:space="preserve"> (overleaf)</w:t>
      </w:r>
      <w:r w:rsidR="00AF4302">
        <w:t>.</w:t>
      </w:r>
    </w:p>
    <w:p w14:paraId="6DCFE9E1" w14:textId="5C4C5A2B" w:rsidR="00E74338" w:rsidRDefault="00E74338" w:rsidP="00A55963"/>
    <w:p w14:paraId="782C0028" w14:textId="77777777" w:rsidR="00E74338" w:rsidRDefault="00E74338" w:rsidP="00A55963"/>
    <w:p w14:paraId="527ABE29" w14:textId="5DC19AC9" w:rsidR="00D942E7" w:rsidRDefault="00D942E7" w:rsidP="00D942E7">
      <w:pPr>
        <w:pStyle w:val="Caption"/>
        <w:keepNext/>
      </w:pPr>
      <w:bookmarkStart w:id="10" w:name="_Ref112345712"/>
      <w:r>
        <w:lastRenderedPageBreak/>
        <w:t xml:space="preserve">Table </w:t>
      </w:r>
      <w:r w:rsidR="00E14893">
        <w:fldChar w:fldCharType="begin"/>
      </w:r>
      <w:r w:rsidR="00E14893">
        <w:instrText xml:space="preserve"> SEQ Table \* ARABIC </w:instrText>
      </w:r>
      <w:r w:rsidR="00E14893">
        <w:fldChar w:fldCharType="separate"/>
      </w:r>
      <w:r w:rsidR="0005315D">
        <w:rPr>
          <w:noProof/>
        </w:rPr>
        <w:t>8</w:t>
      </w:r>
      <w:r w:rsidR="00E14893">
        <w:rPr>
          <w:noProof/>
        </w:rPr>
        <w:fldChar w:fldCharType="end"/>
      </w:r>
      <w:bookmarkEnd w:id="10"/>
      <w:r>
        <w:t xml:space="preserve">: The proportion of individuals in the 2013 cohort observed in further education (FE), higher education (HE) and employment destinations for at least 180 days in the year they turned 22. Results are shown overall and broken down by disadvantage.   </w:t>
      </w:r>
    </w:p>
    <w:tbl>
      <w:tblPr>
        <w:tblStyle w:val="TableGrid"/>
        <w:tblW w:w="8985"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17"/>
        <w:gridCol w:w="1474"/>
        <w:gridCol w:w="1587"/>
        <w:gridCol w:w="1502"/>
        <w:gridCol w:w="1531"/>
        <w:gridCol w:w="1474"/>
      </w:tblGrid>
      <w:tr w:rsidR="00454E0A" w:rsidRPr="00B65D6E" w14:paraId="42E7E99F" w14:textId="77777777" w:rsidTr="00226090">
        <w:trPr>
          <w:jc w:val="center"/>
        </w:trPr>
        <w:tc>
          <w:tcPr>
            <w:tcW w:w="1417" w:type="dxa"/>
            <w:tcBorders>
              <w:bottom w:val="single" w:sz="4" w:space="0" w:color="auto"/>
              <w:right w:val="nil"/>
            </w:tcBorders>
          </w:tcPr>
          <w:p w14:paraId="623D93A9" w14:textId="72FBE6DC" w:rsidR="00454E0A" w:rsidRPr="00B65D6E" w:rsidRDefault="00454E0A" w:rsidP="00454E0A">
            <w:r>
              <w:t>% terms FSM</w:t>
            </w:r>
          </w:p>
        </w:tc>
        <w:tc>
          <w:tcPr>
            <w:tcW w:w="1474" w:type="dxa"/>
            <w:tcBorders>
              <w:left w:val="nil"/>
              <w:bottom w:val="single" w:sz="4" w:space="0" w:color="auto"/>
              <w:right w:val="nil"/>
            </w:tcBorders>
            <w:vAlign w:val="center"/>
          </w:tcPr>
          <w:p w14:paraId="6AB42C26" w14:textId="6ABFBF80" w:rsidR="00454E0A" w:rsidRPr="00B65D6E" w:rsidRDefault="00454E0A" w:rsidP="00226090">
            <w:pPr>
              <w:jc w:val="right"/>
            </w:pPr>
            <w:r w:rsidRPr="00B65D6E">
              <w:t>Cohort size (000s)</w:t>
            </w:r>
          </w:p>
        </w:tc>
        <w:tc>
          <w:tcPr>
            <w:tcW w:w="1587" w:type="dxa"/>
            <w:tcBorders>
              <w:left w:val="nil"/>
              <w:bottom w:val="single" w:sz="4" w:space="0" w:color="auto"/>
              <w:right w:val="nil"/>
            </w:tcBorders>
            <w:vAlign w:val="center"/>
          </w:tcPr>
          <w:p w14:paraId="66012302" w14:textId="6DA39C8E" w:rsidR="00454E0A" w:rsidRPr="00B65D6E" w:rsidRDefault="00454E0A" w:rsidP="00226090">
            <w:pPr>
              <w:jc w:val="right"/>
            </w:pPr>
            <w:r>
              <w:t>Any sustained destination</w:t>
            </w:r>
          </w:p>
        </w:tc>
        <w:tc>
          <w:tcPr>
            <w:tcW w:w="1502" w:type="dxa"/>
            <w:tcBorders>
              <w:left w:val="nil"/>
              <w:bottom w:val="single" w:sz="4" w:space="0" w:color="auto"/>
              <w:right w:val="nil"/>
            </w:tcBorders>
            <w:vAlign w:val="center"/>
          </w:tcPr>
          <w:p w14:paraId="6F56A949" w14:textId="415FEACB" w:rsidR="00454E0A" w:rsidRPr="00B65D6E" w:rsidRDefault="00454E0A" w:rsidP="00226090">
            <w:pPr>
              <w:jc w:val="right"/>
            </w:pPr>
            <w:r w:rsidRPr="00B65D6E">
              <w:t>Sustained FE</w:t>
            </w:r>
            <w:r>
              <w:t xml:space="preserve"> destination</w:t>
            </w:r>
          </w:p>
        </w:tc>
        <w:tc>
          <w:tcPr>
            <w:tcW w:w="1531" w:type="dxa"/>
            <w:tcBorders>
              <w:left w:val="nil"/>
              <w:bottom w:val="single" w:sz="4" w:space="0" w:color="auto"/>
              <w:right w:val="nil"/>
            </w:tcBorders>
            <w:vAlign w:val="center"/>
          </w:tcPr>
          <w:p w14:paraId="6AA94F20" w14:textId="2FA65BCC" w:rsidR="00454E0A" w:rsidRPr="00B65D6E" w:rsidRDefault="00454E0A" w:rsidP="00226090">
            <w:pPr>
              <w:jc w:val="right"/>
            </w:pPr>
            <w:r>
              <w:t>Sustained HE destination</w:t>
            </w:r>
          </w:p>
        </w:tc>
        <w:tc>
          <w:tcPr>
            <w:tcW w:w="1474" w:type="dxa"/>
            <w:tcBorders>
              <w:left w:val="nil"/>
              <w:bottom w:val="single" w:sz="4" w:space="0" w:color="auto"/>
            </w:tcBorders>
            <w:vAlign w:val="center"/>
          </w:tcPr>
          <w:p w14:paraId="7C4D7755" w14:textId="42940080" w:rsidR="00454E0A" w:rsidRPr="00B65D6E" w:rsidRDefault="00454E0A" w:rsidP="00226090">
            <w:pPr>
              <w:jc w:val="right"/>
            </w:pPr>
            <w:r w:rsidRPr="00B65D6E">
              <w:t>Sustained employment</w:t>
            </w:r>
          </w:p>
        </w:tc>
      </w:tr>
      <w:tr w:rsidR="003C66CB" w:rsidRPr="00B65D6E" w14:paraId="13BE2A1D" w14:textId="77777777" w:rsidTr="003C66CB">
        <w:trPr>
          <w:jc w:val="center"/>
        </w:trPr>
        <w:tc>
          <w:tcPr>
            <w:tcW w:w="1417" w:type="dxa"/>
            <w:tcBorders>
              <w:top w:val="single" w:sz="4" w:space="0" w:color="auto"/>
              <w:right w:val="nil"/>
            </w:tcBorders>
          </w:tcPr>
          <w:p w14:paraId="55FA4869" w14:textId="7D2F4F2F" w:rsidR="003C66CB" w:rsidRPr="00B65D6E" w:rsidRDefault="003C66CB" w:rsidP="003C66CB">
            <w:pPr>
              <w:rPr>
                <w:b/>
              </w:rPr>
            </w:pPr>
            <w:r w:rsidRPr="00B65D6E">
              <w:rPr>
                <w:b/>
              </w:rPr>
              <w:t>Overall</w:t>
            </w:r>
          </w:p>
        </w:tc>
        <w:tc>
          <w:tcPr>
            <w:tcW w:w="1474" w:type="dxa"/>
            <w:tcBorders>
              <w:top w:val="single" w:sz="4" w:space="0" w:color="auto"/>
              <w:left w:val="nil"/>
              <w:right w:val="nil"/>
            </w:tcBorders>
            <w:vAlign w:val="center"/>
          </w:tcPr>
          <w:p w14:paraId="55CC24B1" w14:textId="3355DEDC" w:rsidR="003C66CB" w:rsidRPr="00226090" w:rsidRDefault="003C66CB" w:rsidP="003C66CB">
            <w:pPr>
              <w:jc w:val="right"/>
              <w:rPr>
                <w:b/>
              </w:rPr>
            </w:pPr>
            <w:r w:rsidRPr="00226090">
              <w:rPr>
                <w:b/>
              </w:rPr>
              <w:t>599.3</w:t>
            </w:r>
          </w:p>
        </w:tc>
        <w:tc>
          <w:tcPr>
            <w:tcW w:w="1587" w:type="dxa"/>
            <w:tcBorders>
              <w:top w:val="single" w:sz="4" w:space="0" w:color="auto"/>
              <w:left w:val="nil"/>
              <w:right w:val="nil"/>
            </w:tcBorders>
            <w:vAlign w:val="center"/>
          </w:tcPr>
          <w:p w14:paraId="711FE91E" w14:textId="31CA7C7D" w:rsidR="003C66CB" w:rsidRPr="003C66CB" w:rsidRDefault="003C66CB" w:rsidP="003C66CB">
            <w:pPr>
              <w:jc w:val="right"/>
              <w:rPr>
                <w:b/>
              </w:rPr>
            </w:pPr>
            <w:r w:rsidRPr="003C66CB">
              <w:rPr>
                <w:b/>
              </w:rPr>
              <w:t>79%</w:t>
            </w:r>
          </w:p>
        </w:tc>
        <w:tc>
          <w:tcPr>
            <w:tcW w:w="1502" w:type="dxa"/>
            <w:tcBorders>
              <w:top w:val="single" w:sz="4" w:space="0" w:color="auto"/>
              <w:left w:val="nil"/>
              <w:right w:val="nil"/>
            </w:tcBorders>
            <w:vAlign w:val="center"/>
          </w:tcPr>
          <w:p w14:paraId="7DB8C134" w14:textId="3DA557E6" w:rsidR="003C66CB" w:rsidRPr="003C66CB" w:rsidRDefault="003C66CB" w:rsidP="003C66CB">
            <w:pPr>
              <w:jc w:val="right"/>
              <w:rPr>
                <w:b/>
              </w:rPr>
            </w:pPr>
            <w:r w:rsidRPr="003C66CB">
              <w:rPr>
                <w:b/>
              </w:rPr>
              <w:t>7%</w:t>
            </w:r>
          </w:p>
        </w:tc>
        <w:tc>
          <w:tcPr>
            <w:tcW w:w="1531" w:type="dxa"/>
            <w:tcBorders>
              <w:top w:val="single" w:sz="4" w:space="0" w:color="auto"/>
              <w:left w:val="nil"/>
              <w:right w:val="nil"/>
            </w:tcBorders>
            <w:vAlign w:val="center"/>
          </w:tcPr>
          <w:p w14:paraId="33D8D8A9" w14:textId="61E8D5AA" w:rsidR="003C66CB" w:rsidRPr="003C66CB" w:rsidRDefault="003C66CB" w:rsidP="003C66CB">
            <w:pPr>
              <w:jc w:val="right"/>
              <w:rPr>
                <w:b/>
              </w:rPr>
            </w:pPr>
            <w:r w:rsidRPr="003C66CB">
              <w:rPr>
                <w:b/>
              </w:rPr>
              <w:t>25%</w:t>
            </w:r>
          </w:p>
        </w:tc>
        <w:tc>
          <w:tcPr>
            <w:tcW w:w="1474" w:type="dxa"/>
            <w:tcBorders>
              <w:top w:val="single" w:sz="4" w:space="0" w:color="auto"/>
              <w:left w:val="nil"/>
            </w:tcBorders>
            <w:vAlign w:val="center"/>
          </w:tcPr>
          <w:p w14:paraId="20FC8D1C" w14:textId="5AB3E942" w:rsidR="003C66CB" w:rsidRPr="003C66CB" w:rsidRDefault="003C66CB" w:rsidP="003C66CB">
            <w:pPr>
              <w:jc w:val="right"/>
              <w:rPr>
                <w:b/>
              </w:rPr>
            </w:pPr>
            <w:r w:rsidRPr="003C66CB">
              <w:rPr>
                <w:b/>
              </w:rPr>
              <w:t>68%</w:t>
            </w:r>
          </w:p>
        </w:tc>
      </w:tr>
      <w:tr w:rsidR="003C66CB" w:rsidRPr="00B65D6E" w14:paraId="048A0596" w14:textId="77777777" w:rsidTr="003C66CB">
        <w:trPr>
          <w:jc w:val="center"/>
        </w:trPr>
        <w:tc>
          <w:tcPr>
            <w:tcW w:w="1417" w:type="dxa"/>
            <w:tcBorders>
              <w:right w:val="nil"/>
            </w:tcBorders>
          </w:tcPr>
          <w:p w14:paraId="01626432" w14:textId="77777777" w:rsidR="003C66CB" w:rsidRPr="00B65D6E" w:rsidRDefault="003C66CB" w:rsidP="003C66CB"/>
        </w:tc>
        <w:tc>
          <w:tcPr>
            <w:tcW w:w="1474" w:type="dxa"/>
            <w:tcBorders>
              <w:left w:val="nil"/>
              <w:right w:val="nil"/>
            </w:tcBorders>
            <w:vAlign w:val="center"/>
          </w:tcPr>
          <w:p w14:paraId="437EB817" w14:textId="77777777" w:rsidR="003C66CB" w:rsidRPr="00B65D6E" w:rsidRDefault="003C66CB" w:rsidP="003C66CB">
            <w:pPr>
              <w:jc w:val="right"/>
            </w:pPr>
          </w:p>
        </w:tc>
        <w:tc>
          <w:tcPr>
            <w:tcW w:w="1587" w:type="dxa"/>
            <w:tcBorders>
              <w:left w:val="nil"/>
              <w:right w:val="nil"/>
            </w:tcBorders>
            <w:vAlign w:val="center"/>
          </w:tcPr>
          <w:p w14:paraId="3D08FCDB" w14:textId="77777777" w:rsidR="003C66CB" w:rsidRPr="00B65D6E" w:rsidRDefault="003C66CB" w:rsidP="003C66CB">
            <w:pPr>
              <w:jc w:val="right"/>
            </w:pPr>
          </w:p>
        </w:tc>
        <w:tc>
          <w:tcPr>
            <w:tcW w:w="1502" w:type="dxa"/>
            <w:tcBorders>
              <w:left w:val="nil"/>
              <w:right w:val="nil"/>
            </w:tcBorders>
            <w:vAlign w:val="center"/>
          </w:tcPr>
          <w:p w14:paraId="36AA747B" w14:textId="703F0753" w:rsidR="003C66CB" w:rsidRPr="00B65D6E" w:rsidRDefault="003C66CB" w:rsidP="003C66CB">
            <w:pPr>
              <w:jc w:val="right"/>
            </w:pPr>
          </w:p>
        </w:tc>
        <w:tc>
          <w:tcPr>
            <w:tcW w:w="1531" w:type="dxa"/>
            <w:tcBorders>
              <w:left w:val="nil"/>
              <w:right w:val="nil"/>
            </w:tcBorders>
            <w:vAlign w:val="center"/>
          </w:tcPr>
          <w:p w14:paraId="444373DE" w14:textId="77777777" w:rsidR="003C66CB" w:rsidRPr="00B65D6E" w:rsidRDefault="003C66CB" w:rsidP="003C66CB">
            <w:pPr>
              <w:jc w:val="right"/>
            </w:pPr>
          </w:p>
        </w:tc>
        <w:tc>
          <w:tcPr>
            <w:tcW w:w="1474" w:type="dxa"/>
            <w:tcBorders>
              <w:left w:val="nil"/>
            </w:tcBorders>
            <w:vAlign w:val="center"/>
          </w:tcPr>
          <w:p w14:paraId="6AC0E124" w14:textId="77777777" w:rsidR="003C66CB" w:rsidRPr="00B65D6E" w:rsidRDefault="003C66CB" w:rsidP="003C66CB">
            <w:pPr>
              <w:jc w:val="right"/>
            </w:pPr>
          </w:p>
        </w:tc>
      </w:tr>
      <w:tr w:rsidR="003C66CB" w:rsidRPr="00B65D6E" w14:paraId="465C787E" w14:textId="77777777" w:rsidTr="003C66CB">
        <w:trPr>
          <w:jc w:val="center"/>
        </w:trPr>
        <w:tc>
          <w:tcPr>
            <w:tcW w:w="1417" w:type="dxa"/>
            <w:tcBorders>
              <w:right w:val="nil"/>
            </w:tcBorders>
          </w:tcPr>
          <w:p w14:paraId="3E05075C" w14:textId="53B53698" w:rsidR="003C66CB" w:rsidRPr="00B65D6E" w:rsidRDefault="003C66CB" w:rsidP="003C66CB">
            <w:r w:rsidRPr="00B65D6E">
              <w:t>Never FSM</w:t>
            </w:r>
          </w:p>
        </w:tc>
        <w:tc>
          <w:tcPr>
            <w:tcW w:w="1474" w:type="dxa"/>
            <w:tcBorders>
              <w:left w:val="nil"/>
              <w:right w:val="nil"/>
            </w:tcBorders>
            <w:vAlign w:val="center"/>
          </w:tcPr>
          <w:p w14:paraId="30C396A5" w14:textId="1A604575" w:rsidR="003C66CB" w:rsidRPr="00B65D6E" w:rsidRDefault="003C66CB" w:rsidP="003C66CB">
            <w:pPr>
              <w:jc w:val="right"/>
            </w:pPr>
            <w:r w:rsidRPr="00125438">
              <w:t>400.0</w:t>
            </w:r>
          </w:p>
        </w:tc>
        <w:tc>
          <w:tcPr>
            <w:tcW w:w="1587" w:type="dxa"/>
            <w:tcBorders>
              <w:left w:val="nil"/>
              <w:right w:val="nil"/>
            </w:tcBorders>
            <w:vAlign w:val="center"/>
          </w:tcPr>
          <w:p w14:paraId="50DC3C02" w14:textId="360B4358" w:rsidR="003C66CB" w:rsidRPr="00B65D6E" w:rsidRDefault="003C66CB" w:rsidP="003C66CB">
            <w:pPr>
              <w:jc w:val="right"/>
            </w:pPr>
            <w:r w:rsidRPr="00AA7C8C">
              <w:t>85%</w:t>
            </w:r>
          </w:p>
        </w:tc>
        <w:tc>
          <w:tcPr>
            <w:tcW w:w="1502" w:type="dxa"/>
            <w:tcBorders>
              <w:left w:val="nil"/>
              <w:right w:val="nil"/>
            </w:tcBorders>
            <w:vAlign w:val="center"/>
          </w:tcPr>
          <w:p w14:paraId="61F83348" w14:textId="0E510AD9" w:rsidR="003C66CB" w:rsidRPr="00B65D6E" w:rsidRDefault="003C66CB" w:rsidP="003C66CB">
            <w:pPr>
              <w:jc w:val="right"/>
            </w:pPr>
            <w:r w:rsidRPr="00AA7C8C">
              <w:t>7%</w:t>
            </w:r>
          </w:p>
        </w:tc>
        <w:tc>
          <w:tcPr>
            <w:tcW w:w="1531" w:type="dxa"/>
            <w:tcBorders>
              <w:left w:val="nil"/>
              <w:right w:val="nil"/>
            </w:tcBorders>
            <w:vAlign w:val="center"/>
          </w:tcPr>
          <w:p w14:paraId="09D4295A" w14:textId="38D5FA80" w:rsidR="003C66CB" w:rsidRPr="00B65D6E" w:rsidRDefault="003C66CB" w:rsidP="003C66CB">
            <w:pPr>
              <w:jc w:val="right"/>
            </w:pPr>
            <w:r w:rsidRPr="00AA7C8C">
              <w:t>29%</w:t>
            </w:r>
          </w:p>
        </w:tc>
        <w:tc>
          <w:tcPr>
            <w:tcW w:w="1474" w:type="dxa"/>
            <w:tcBorders>
              <w:left w:val="nil"/>
            </w:tcBorders>
            <w:vAlign w:val="center"/>
          </w:tcPr>
          <w:p w14:paraId="2B430D28" w14:textId="570CE6F0" w:rsidR="003C66CB" w:rsidRPr="00B65D6E" w:rsidRDefault="003C66CB" w:rsidP="003C66CB">
            <w:pPr>
              <w:jc w:val="right"/>
            </w:pPr>
            <w:r w:rsidRPr="00AA7C8C">
              <w:t>72%</w:t>
            </w:r>
          </w:p>
        </w:tc>
      </w:tr>
      <w:tr w:rsidR="003C66CB" w:rsidRPr="00B65D6E" w14:paraId="04C38905" w14:textId="77777777" w:rsidTr="003C66CB">
        <w:trPr>
          <w:jc w:val="center"/>
        </w:trPr>
        <w:tc>
          <w:tcPr>
            <w:tcW w:w="1417" w:type="dxa"/>
            <w:tcBorders>
              <w:right w:val="nil"/>
            </w:tcBorders>
          </w:tcPr>
          <w:p w14:paraId="6487661E" w14:textId="11385EE4" w:rsidR="003C66CB" w:rsidRPr="00B65D6E" w:rsidRDefault="003C66CB" w:rsidP="003C66CB">
            <w:r w:rsidRPr="00B65D6E">
              <w:t>&lt;= 25%</w:t>
            </w:r>
          </w:p>
        </w:tc>
        <w:tc>
          <w:tcPr>
            <w:tcW w:w="1474" w:type="dxa"/>
            <w:tcBorders>
              <w:left w:val="nil"/>
              <w:right w:val="nil"/>
            </w:tcBorders>
            <w:vAlign w:val="center"/>
          </w:tcPr>
          <w:p w14:paraId="251FF543" w14:textId="387696B2" w:rsidR="003C66CB" w:rsidRPr="00B65D6E" w:rsidRDefault="003C66CB" w:rsidP="003C66CB">
            <w:pPr>
              <w:jc w:val="right"/>
            </w:pPr>
            <w:r w:rsidRPr="00125438">
              <w:t>53.4</w:t>
            </w:r>
          </w:p>
        </w:tc>
        <w:tc>
          <w:tcPr>
            <w:tcW w:w="1587" w:type="dxa"/>
            <w:tcBorders>
              <w:left w:val="nil"/>
              <w:right w:val="nil"/>
            </w:tcBorders>
            <w:vAlign w:val="center"/>
          </w:tcPr>
          <w:p w14:paraId="3A884493" w14:textId="37E8D13C" w:rsidR="003C66CB" w:rsidRPr="00B65D6E" w:rsidRDefault="003C66CB" w:rsidP="003C66CB">
            <w:pPr>
              <w:jc w:val="right"/>
            </w:pPr>
            <w:r w:rsidRPr="00AA7C8C">
              <w:t>76%</w:t>
            </w:r>
          </w:p>
        </w:tc>
        <w:tc>
          <w:tcPr>
            <w:tcW w:w="1502" w:type="dxa"/>
            <w:tcBorders>
              <w:left w:val="nil"/>
              <w:right w:val="nil"/>
            </w:tcBorders>
            <w:vAlign w:val="center"/>
          </w:tcPr>
          <w:p w14:paraId="39657FC4" w14:textId="67DDC9F6" w:rsidR="003C66CB" w:rsidRPr="00B65D6E" w:rsidRDefault="003C66CB" w:rsidP="003C66CB">
            <w:pPr>
              <w:jc w:val="right"/>
            </w:pPr>
            <w:r w:rsidRPr="00AA7C8C">
              <w:t>7%</w:t>
            </w:r>
          </w:p>
        </w:tc>
        <w:tc>
          <w:tcPr>
            <w:tcW w:w="1531" w:type="dxa"/>
            <w:tcBorders>
              <w:left w:val="nil"/>
              <w:right w:val="nil"/>
            </w:tcBorders>
            <w:vAlign w:val="center"/>
          </w:tcPr>
          <w:p w14:paraId="05E34724" w14:textId="2228E8A6" w:rsidR="003C66CB" w:rsidRPr="00B65D6E" w:rsidRDefault="003C66CB" w:rsidP="003C66CB">
            <w:pPr>
              <w:jc w:val="right"/>
            </w:pPr>
            <w:r w:rsidRPr="00AA7C8C">
              <w:t>19%</w:t>
            </w:r>
          </w:p>
        </w:tc>
        <w:tc>
          <w:tcPr>
            <w:tcW w:w="1474" w:type="dxa"/>
            <w:tcBorders>
              <w:left w:val="nil"/>
            </w:tcBorders>
            <w:vAlign w:val="center"/>
          </w:tcPr>
          <w:p w14:paraId="7B2CE7BF" w14:textId="2A230CA8" w:rsidR="003C66CB" w:rsidRPr="00B65D6E" w:rsidRDefault="003C66CB" w:rsidP="003C66CB">
            <w:pPr>
              <w:jc w:val="right"/>
            </w:pPr>
            <w:r w:rsidRPr="00AA7C8C">
              <w:t>67%</w:t>
            </w:r>
          </w:p>
        </w:tc>
      </w:tr>
      <w:tr w:rsidR="003C66CB" w:rsidRPr="00B65D6E" w14:paraId="06AA5881" w14:textId="77777777" w:rsidTr="003C66CB">
        <w:trPr>
          <w:jc w:val="center"/>
        </w:trPr>
        <w:tc>
          <w:tcPr>
            <w:tcW w:w="1417" w:type="dxa"/>
            <w:tcBorders>
              <w:bottom w:val="nil"/>
              <w:right w:val="nil"/>
            </w:tcBorders>
          </w:tcPr>
          <w:p w14:paraId="5C6C3764" w14:textId="4EA19419" w:rsidR="003C66CB" w:rsidRPr="00B65D6E" w:rsidRDefault="003C66CB" w:rsidP="003C66CB">
            <w:r w:rsidRPr="00B65D6E">
              <w:t>25% to 50%</w:t>
            </w:r>
          </w:p>
        </w:tc>
        <w:tc>
          <w:tcPr>
            <w:tcW w:w="1474" w:type="dxa"/>
            <w:tcBorders>
              <w:left w:val="nil"/>
              <w:bottom w:val="nil"/>
              <w:right w:val="nil"/>
            </w:tcBorders>
            <w:vAlign w:val="center"/>
          </w:tcPr>
          <w:p w14:paraId="5D01D7C0" w14:textId="1EB30325" w:rsidR="003C66CB" w:rsidRPr="00B65D6E" w:rsidRDefault="003C66CB" w:rsidP="003C66CB">
            <w:pPr>
              <w:jc w:val="right"/>
            </w:pPr>
            <w:r w:rsidRPr="00125438">
              <w:t>48.0</w:t>
            </w:r>
          </w:p>
        </w:tc>
        <w:tc>
          <w:tcPr>
            <w:tcW w:w="1587" w:type="dxa"/>
            <w:tcBorders>
              <w:left w:val="nil"/>
              <w:bottom w:val="nil"/>
              <w:right w:val="nil"/>
            </w:tcBorders>
            <w:vAlign w:val="center"/>
          </w:tcPr>
          <w:p w14:paraId="6E39CA20" w14:textId="03297A62" w:rsidR="003C66CB" w:rsidRPr="00B65D6E" w:rsidRDefault="003C66CB" w:rsidP="003C66CB">
            <w:pPr>
              <w:jc w:val="right"/>
            </w:pPr>
            <w:r w:rsidRPr="00AA7C8C">
              <w:t>72%</w:t>
            </w:r>
          </w:p>
        </w:tc>
        <w:tc>
          <w:tcPr>
            <w:tcW w:w="1502" w:type="dxa"/>
            <w:tcBorders>
              <w:left w:val="nil"/>
              <w:bottom w:val="nil"/>
              <w:right w:val="nil"/>
            </w:tcBorders>
            <w:vAlign w:val="center"/>
          </w:tcPr>
          <w:p w14:paraId="3E95E878" w14:textId="2340E9FF" w:rsidR="003C66CB" w:rsidRPr="00B65D6E" w:rsidRDefault="003C66CB" w:rsidP="003C66CB">
            <w:pPr>
              <w:jc w:val="right"/>
            </w:pPr>
            <w:r w:rsidRPr="00AA7C8C">
              <w:t>7%</w:t>
            </w:r>
          </w:p>
        </w:tc>
        <w:tc>
          <w:tcPr>
            <w:tcW w:w="1531" w:type="dxa"/>
            <w:tcBorders>
              <w:left w:val="nil"/>
              <w:bottom w:val="nil"/>
              <w:right w:val="nil"/>
            </w:tcBorders>
            <w:vAlign w:val="center"/>
          </w:tcPr>
          <w:p w14:paraId="18042813" w14:textId="7F8C9792" w:rsidR="003C66CB" w:rsidRPr="00B65D6E" w:rsidRDefault="003C66CB" w:rsidP="003C66CB">
            <w:pPr>
              <w:jc w:val="right"/>
            </w:pPr>
            <w:r w:rsidRPr="00AA7C8C">
              <w:t>18%</w:t>
            </w:r>
          </w:p>
        </w:tc>
        <w:tc>
          <w:tcPr>
            <w:tcW w:w="1474" w:type="dxa"/>
            <w:tcBorders>
              <w:left w:val="nil"/>
              <w:bottom w:val="nil"/>
            </w:tcBorders>
            <w:vAlign w:val="center"/>
          </w:tcPr>
          <w:p w14:paraId="72822AA1" w14:textId="3C75DA2C" w:rsidR="003C66CB" w:rsidRPr="00B65D6E" w:rsidRDefault="003C66CB" w:rsidP="003C66CB">
            <w:pPr>
              <w:jc w:val="right"/>
            </w:pPr>
            <w:r w:rsidRPr="00AA7C8C">
              <w:t>63%</w:t>
            </w:r>
          </w:p>
        </w:tc>
      </w:tr>
      <w:tr w:rsidR="003C66CB" w:rsidRPr="00B65D6E" w14:paraId="3F2E9AF6" w14:textId="77777777" w:rsidTr="003C66CB">
        <w:trPr>
          <w:jc w:val="center"/>
        </w:trPr>
        <w:tc>
          <w:tcPr>
            <w:tcW w:w="1417" w:type="dxa"/>
            <w:tcBorders>
              <w:right w:val="nil"/>
            </w:tcBorders>
          </w:tcPr>
          <w:p w14:paraId="501203A3" w14:textId="3700E05C" w:rsidR="003C66CB" w:rsidRPr="00B65D6E" w:rsidRDefault="003C66CB" w:rsidP="003C66CB">
            <w:r w:rsidRPr="00B65D6E">
              <w:t>50% to 80%</w:t>
            </w:r>
          </w:p>
        </w:tc>
        <w:tc>
          <w:tcPr>
            <w:tcW w:w="1474" w:type="dxa"/>
            <w:tcBorders>
              <w:left w:val="nil"/>
              <w:right w:val="nil"/>
            </w:tcBorders>
            <w:vAlign w:val="center"/>
          </w:tcPr>
          <w:p w14:paraId="72FA79A9" w14:textId="2AEABA74" w:rsidR="003C66CB" w:rsidRPr="00B65D6E" w:rsidRDefault="003C66CB" w:rsidP="003C66CB">
            <w:pPr>
              <w:jc w:val="right"/>
            </w:pPr>
            <w:r w:rsidRPr="00125438">
              <w:t>48.7</w:t>
            </w:r>
          </w:p>
        </w:tc>
        <w:tc>
          <w:tcPr>
            <w:tcW w:w="1587" w:type="dxa"/>
            <w:tcBorders>
              <w:left w:val="nil"/>
              <w:right w:val="nil"/>
            </w:tcBorders>
            <w:vAlign w:val="center"/>
          </w:tcPr>
          <w:p w14:paraId="7EBA419B" w14:textId="7406CCA0" w:rsidR="003C66CB" w:rsidRPr="00B65D6E" w:rsidRDefault="003C66CB" w:rsidP="003C66CB">
            <w:pPr>
              <w:jc w:val="right"/>
            </w:pPr>
            <w:r w:rsidRPr="00AA7C8C">
              <w:t>66%</w:t>
            </w:r>
          </w:p>
        </w:tc>
        <w:tc>
          <w:tcPr>
            <w:tcW w:w="1502" w:type="dxa"/>
            <w:tcBorders>
              <w:left w:val="nil"/>
              <w:right w:val="nil"/>
            </w:tcBorders>
            <w:vAlign w:val="center"/>
          </w:tcPr>
          <w:p w14:paraId="5E225596" w14:textId="43186E68" w:rsidR="003C66CB" w:rsidRPr="00B65D6E" w:rsidRDefault="003C66CB" w:rsidP="003C66CB">
            <w:pPr>
              <w:jc w:val="right"/>
            </w:pPr>
            <w:r w:rsidRPr="00AA7C8C">
              <w:t>7%</w:t>
            </w:r>
          </w:p>
        </w:tc>
        <w:tc>
          <w:tcPr>
            <w:tcW w:w="1531" w:type="dxa"/>
            <w:tcBorders>
              <w:left w:val="nil"/>
              <w:right w:val="nil"/>
            </w:tcBorders>
            <w:vAlign w:val="center"/>
          </w:tcPr>
          <w:p w14:paraId="663A3F5F" w14:textId="789EDC2D" w:rsidR="003C66CB" w:rsidRPr="00B65D6E" w:rsidRDefault="003C66CB" w:rsidP="003C66CB">
            <w:pPr>
              <w:jc w:val="right"/>
            </w:pPr>
            <w:r w:rsidRPr="00AA7C8C">
              <w:t>15%</w:t>
            </w:r>
          </w:p>
        </w:tc>
        <w:tc>
          <w:tcPr>
            <w:tcW w:w="1474" w:type="dxa"/>
            <w:tcBorders>
              <w:left w:val="nil"/>
            </w:tcBorders>
            <w:vAlign w:val="center"/>
          </w:tcPr>
          <w:p w14:paraId="639DFE38" w14:textId="01B408DF" w:rsidR="003C66CB" w:rsidRPr="00B65D6E" w:rsidRDefault="003C66CB" w:rsidP="003C66CB">
            <w:pPr>
              <w:jc w:val="right"/>
            </w:pPr>
            <w:r w:rsidRPr="00AA7C8C">
              <w:t>57%</w:t>
            </w:r>
          </w:p>
        </w:tc>
      </w:tr>
      <w:tr w:rsidR="003C66CB" w:rsidRPr="00B65D6E" w14:paraId="3326B5F7" w14:textId="77777777" w:rsidTr="003C66CB">
        <w:trPr>
          <w:jc w:val="center"/>
        </w:trPr>
        <w:tc>
          <w:tcPr>
            <w:tcW w:w="1417" w:type="dxa"/>
            <w:tcBorders>
              <w:right w:val="nil"/>
            </w:tcBorders>
          </w:tcPr>
          <w:p w14:paraId="79FBA96E" w14:textId="49A1F687" w:rsidR="003C66CB" w:rsidRPr="00B65D6E" w:rsidRDefault="003C66CB" w:rsidP="003C66CB">
            <w:r w:rsidRPr="00B65D6E">
              <w:t>80%+</w:t>
            </w:r>
          </w:p>
        </w:tc>
        <w:tc>
          <w:tcPr>
            <w:tcW w:w="1474" w:type="dxa"/>
            <w:tcBorders>
              <w:left w:val="nil"/>
              <w:right w:val="nil"/>
            </w:tcBorders>
            <w:vAlign w:val="center"/>
          </w:tcPr>
          <w:p w14:paraId="212C29A9" w14:textId="326ECBCF" w:rsidR="003C66CB" w:rsidRPr="00B65D6E" w:rsidRDefault="003C66CB" w:rsidP="003C66CB">
            <w:pPr>
              <w:jc w:val="right"/>
            </w:pPr>
            <w:r w:rsidRPr="00125438">
              <w:t>49.2</w:t>
            </w:r>
          </w:p>
        </w:tc>
        <w:tc>
          <w:tcPr>
            <w:tcW w:w="1587" w:type="dxa"/>
            <w:tcBorders>
              <w:left w:val="nil"/>
              <w:right w:val="nil"/>
            </w:tcBorders>
            <w:vAlign w:val="center"/>
          </w:tcPr>
          <w:p w14:paraId="5916EEA6" w14:textId="0B93E6B7" w:rsidR="003C66CB" w:rsidRPr="00B65D6E" w:rsidRDefault="003C66CB" w:rsidP="003C66CB">
            <w:pPr>
              <w:jc w:val="right"/>
            </w:pPr>
            <w:r w:rsidRPr="00AA7C8C">
              <w:t>61%</w:t>
            </w:r>
          </w:p>
        </w:tc>
        <w:tc>
          <w:tcPr>
            <w:tcW w:w="1502" w:type="dxa"/>
            <w:tcBorders>
              <w:left w:val="nil"/>
              <w:right w:val="nil"/>
            </w:tcBorders>
            <w:vAlign w:val="center"/>
          </w:tcPr>
          <w:p w14:paraId="469FC78A" w14:textId="4E9A29B2" w:rsidR="003C66CB" w:rsidRPr="00B65D6E" w:rsidRDefault="003C66CB" w:rsidP="003C66CB">
            <w:pPr>
              <w:jc w:val="right"/>
            </w:pPr>
            <w:r w:rsidRPr="00AA7C8C">
              <w:t>6%</w:t>
            </w:r>
          </w:p>
        </w:tc>
        <w:tc>
          <w:tcPr>
            <w:tcW w:w="1531" w:type="dxa"/>
            <w:tcBorders>
              <w:left w:val="nil"/>
              <w:right w:val="nil"/>
            </w:tcBorders>
            <w:vAlign w:val="center"/>
          </w:tcPr>
          <w:p w14:paraId="7AB6C63B" w14:textId="72A99CD0" w:rsidR="003C66CB" w:rsidRPr="00B65D6E" w:rsidRDefault="003C66CB" w:rsidP="003C66CB">
            <w:pPr>
              <w:jc w:val="right"/>
            </w:pPr>
            <w:r w:rsidRPr="00AA7C8C">
              <w:t>16%</w:t>
            </w:r>
          </w:p>
        </w:tc>
        <w:tc>
          <w:tcPr>
            <w:tcW w:w="1474" w:type="dxa"/>
            <w:tcBorders>
              <w:left w:val="nil"/>
            </w:tcBorders>
            <w:vAlign w:val="center"/>
          </w:tcPr>
          <w:p w14:paraId="50DFC21D" w14:textId="280CB8B3" w:rsidR="003C66CB" w:rsidRPr="00B65D6E" w:rsidRDefault="003C66CB" w:rsidP="003C66CB">
            <w:pPr>
              <w:jc w:val="right"/>
            </w:pPr>
            <w:r w:rsidRPr="00AA7C8C">
              <w:t>52%</w:t>
            </w:r>
          </w:p>
        </w:tc>
      </w:tr>
    </w:tbl>
    <w:p w14:paraId="6B0505C7" w14:textId="77777777" w:rsidR="00E35B33" w:rsidRPr="00AF4302" w:rsidRDefault="00E35B33" w:rsidP="00A55963"/>
    <w:p w14:paraId="0BDDB14D" w14:textId="1732BC08" w:rsidR="006D7D41" w:rsidRDefault="006D7D41" w:rsidP="004851C1">
      <w:pPr>
        <w:pStyle w:val="Heading4"/>
        <w:rPr>
          <w:rFonts w:ascii="Avenir LT Std 35 Light" w:hAnsi="Avenir LT Std 35 Light"/>
        </w:rPr>
      </w:pPr>
      <w:r w:rsidRPr="00AF4302">
        <w:rPr>
          <w:rFonts w:ascii="Avenir LT Std 35 Light" w:hAnsi="Avenir LT Std 35 Light"/>
        </w:rPr>
        <w:t xml:space="preserve">The likelihood of </w:t>
      </w:r>
      <w:r w:rsidR="00DD4C11">
        <w:rPr>
          <w:rFonts w:ascii="Avenir LT Std 35 Light" w:hAnsi="Avenir LT Std 35 Light"/>
        </w:rPr>
        <w:t>receiving</w:t>
      </w:r>
      <w:r w:rsidRPr="00AF4302">
        <w:rPr>
          <w:rFonts w:ascii="Avenir LT Std 35 Light" w:hAnsi="Avenir LT Std 35 Light"/>
        </w:rPr>
        <w:t xml:space="preserve"> workless benefits at age 22</w:t>
      </w:r>
    </w:p>
    <w:p w14:paraId="60CC31A1" w14:textId="633A1496" w:rsidR="006D7D41" w:rsidRPr="00AF4302" w:rsidRDefault="003C66CB" w:rsidP="00A136A6">
      <w:pPr>
        <w:keepNext/>
        <w:jc w:val="center"/>
      </w:pPr>
      <w:r>
        <w:rPr>
          <w:noProof/>
          <w:lang w:eastAsia="en-GB"/>
        </w:rPr>
        <w:drawing>
          <wp:inline distT="0" distB="0" distL="0" distR="0" wp14:anchorId="4634BA20" wp14:editId="750A4A82">
            <wp:extent cx="5731510" cy="37439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2_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3E000274" w14:textId="4E78DB12" w:rsidR="006D7D41" w:rsidRDefault="006D7D41" w:rsidP="006D7D41">
      <w:pPr>
        <w:pStyle w:val="Caption"/>
      </w:pPr>
      <w:bookmarkStart w:id="11" w:name="_Ref112345726"/>
      <w:r w:rsidRPr="00AF4302">
        <w:t xml:space="preserve">Figure </w:t>
      </w:r>
      <w:r w:rsidR="00E14893">
        <w:fldChar w:fldCharType="begin"/>
      </w:r>
      <w:r w:rsidR="00E14893">
        <w:instrText xml:space="preserve"> SEQ Figure \* ARABIC </w:instrText>
      </w:r>
      <w:r w:rsidR="00E14893">
        <w:fldChar w:fldCharType="separate"/>
      </w:r>
      <w:r w:rsidR="00080770">
        <w:rPr>
          <w:noProof/>
        </w:rPr>
        <w:t>2</w:t>
      </w:r>
      <w:r w:rsidR="00E14893">
        <w:rPr>
          <w:noProof/>
        </w:rPr>
        <w:fldChar w:fldCharType="end"/>
      </w:r>
      <w:bookmarkEnd w:id="11"/>
      <w:r w:rsidRPr="00AF4302">
        <w:t xml:space="preserve">: Chart showing the proportion of the 2013 </w:t>
      </w:r>
      <w:r w:rsidR="00DD4C11">
        <w:t xml:space="preserve">Key Stage 4 </w:t>
      </w:r>
      <w:r w:rsidRPr="00AF4302">
        <w:t xml:space="preserve">cohort who </w:t>
      </w:r>
      <w:r w:rsidR="00A55963" w:rsidRPr="00AF4302">
        <w:t>were observed receiving workless benefits at age 22 for at least 180 days.</w:t>
      </w:r>
      <w:r w:rsidRPr="00AF4302">
        <w:t xml:space="preserve"> The results are split by </w:t>
      </w:r>
      <w:r w:rsidR="00974792" w:rsidRPr="00AF4302">
        <w:t>disadvantage.</w:t>
      </w:r>
    </w:p>
    <w:p w14:paraId="243991D9" w14:textId="42B7A71E" w:rsidR="006C58E6" w:rsidRDefault="00DD4C11" w:rsidP="00D942E7">
      <w:r>
        <w:t xml:space="preserve">We turn now to a different outcome: receiving workless benefits. This measure is more prone to time-related distortion than our previous measure. At age 22 many </w:t>
      </w:r>
      <w:r w:rsidR="006C58E6">
        <w:t>who went into</w:t>
      </w:r>
      <w:r>
        <w:t xml:space="preserve"> higher education have yet to enter the labour market fully. This makes it hard to compare workless benefit rates between groups with different higher education participation</w:t>
      </w:r>
      <w:r w:rsidR="006C58E6">
        <w:t>.</w:t>
      </w:r>
    </w:p>
    <w:p w14:paraId="501DFA34" w14:textId="16AE6CDD" w:rsidR="006C58E6" w:rsidRDefault="006C58E6" w:rsidP="00D942E7">
      <w:r>
        <w:t>With this caveat in mind, we show the proportion</w:t>
      </w:r>
      <w:r w:rsidRPr="00AF4302">
        <w:t xml:space="preserve"> </w:t>
      </w:r>
      <w:r>
        <w:t>of</w:t>
      </w:r>
      <w:r w:rsidRPr="00AF4302">
        <w:t xml:space="preserve"> the </w:t>
      </w:r>
      <w:r w:rsidR="005A04EC">
        <w:t xml:space="preserve">2013 </w:t>
      </w:r>
      <w:r w:rsidRPr="00AF4302">
        <w:t xml:space="preserve">cohort </w:t>
      </w:r>
      <w:r>
        <w:t>who were observed receiving workless benefits for a sustained period of time in</w:t>
      </w:r>
      <w:r w:rsidR="000D4A1D">
        <w:t xml:space="preserve"> </w:t>
      </w:r>
      <w:r w:rsidR="000D4A1D">
        <w:fldChar w:fldCharType="begin"/>
      </w:r>
      <w:r w:rsidR="000D4A1D">
        <w:instrText xml:space="preserve"> REF _Ref112345726 \h </w:instrText>
      </w:r>
      <w:r w:rsidR="000D4A1D">
        <w:fldChar w:fldCharType="separate"/>
      </w:r>
      <w:r w:rsidR="00882925" w:rsidRPr="00AF4302">
        <w:t xml:space="preserve">Figure </w:t>
      </w:r>
      <w:r w:rsidR="00882925">
        <w:rPr>
          <w:noProof/>
        </w:rPr>
        <w:t>2</w:t>
      </w:r>
      <w:r w:rsidR="000D4A1D">
        <w:fldChar w:fldCharType="end"/>
      </w:r>
      <w:r>
        <w:t>.</w:t>
      </w:r>
    </w:p>
    <w:p w14:paraId="71CB7367" w14:textId="468DCBF1" w:rsidR="00D942E7" w:rsidRPr="00D942E7" w:rsidRDefault="00960F8F" w:rsidP="00D942E7">
      <w:r>
        <w:t>W</w:t>
      </w:r>
      <w:r w:rsidR="004B7CCE">
        <w:t>orkless benefit rates increase</w:t>
      </w:r>
      <w:r>
        <w:t>d</w:t>
      </w:r>
      <w:r w:rsidR="004B7CCE">
        <w:t xml:space="preserve"> with disadvantage. </w:t>
      </w:r>
      <w:r w:rsidR="00476FA5">
        <w:t xml:space="preserve">Almost a third (29%) of </w:t>
      </w:r>
      <w:r w:rsidR="0021792A">
        <w:t>long-term</w:t>
      </w:r>
      <w:r w:rsidR="004B7CCE">
        <w:t xml:space="preserve"> disadvantaged pupils were </w:t>
      </w:r>
      <w:r w:rsidR="00476FA5">
        <w:t>observed receiving workless benefits</w:t>
      </w:r>
      <w:r>
        <w:t xml:space="preserve"> at age 22</w:t>
      </w:r>
      <w:r w:rsidR="00476FA5">
        <w:t xml:space="preserve">. They were around </w:t>
      </w:r>
      <w:r w:rsidR="004B7CCE">
        <w:t>five and a half t</w:t>
      </w:r>
      <w:r w:rsidR="00476FA5">
        <w:t xml:space="preserve">imes more likely to be in this position than those who had never been </w:t>
      </w:r>
      <w:r w:rsidR="00476FA5">
        <w:lastRenderedPageBreak/>
        <w:t>eligible for FSM (</w:t>
      </w:r>
      <w:r w:rsidR="009A7B74">
        <w:t>5</w:t>
      </w:r>
      <w:r w:rsidR="00476FA5">
        <w:t>%), and around twice as likely as those who had been eligible for the shortest period (14%).</w:t>
      </w:r>
    </w:p>
    <w:p w14:paraId="1DFDF696" w14:textId="34C17598" w:rsidR="003B0E7B" w:rsidRDefault="002B7C0D" w:rsidP="002B7C0D">
      <w:pPr>
        <w:pStyle w:val="Heading4"/>
      </w:pPr>
      <w:r>
        <w:t>Average earnings at age 22</w:t>
      </w:r>
    </w:p>
    <w:p w14:paraId="7CC912C5" w14:textId="36D638EB" w:rsidR="00256F5E" w:rsidRDefault="00256F5E" w:rsidP="00256F5E">
      <w:r>
        <w:t xml:space="preserve">The final labour market outcome we will consider is the average earnings per individual in the year they turn 22. This measure is prone to distortion in the same way as workless benefits – many of those who participated in higher education would not have entered the labour market fully yet. It also suffers from another problem. Because we do not have any data on the number of hours worked, it isn’t possible to distinguish individuals who were paid a high wage over a short period of time from those paid a low wage over a long period of time. </w:t>
      </w:r>
    </w:p>
    <w:p w14:paraId="27B53A19" w14:textId="3E3CC37A" w:rsidR="00F966E9" w:rsidRDefault="002D0278" w:rsidP="00256F5E">
      <w:r>
        <w:t>We present average earnings by disadvantage</w:t>
      </w:r>
      <w:r w:rsidR="005A04EC">
        <w:t xml:space="preserve"> for the 2013 cohort</w:t>
      </w:r>
      <w:r>
        <w:t xml:space="preserve"> in</w:t>
      </w:r>
      <w:r w:rsidR="000D4A1D">
        <w:t xml:space="preserve"> </w:t>
      </w:r>
      <w:r w:rsidR="000D4A1D">
        <w:fldChar w:fldCharType="begin"/>
      </w:r>
      <w:r w:rsidR="000D4A1D">
        <w:instrText xml:space="preserve"> REF _Ref112345740 \h </w:instrText>
      </w:r>
      <w:r w:rsidR="000D4A1D">
        <w:fldChar w:fldCharType="separate"/>
      </w:r>
      <w:r w:rsidR="00882925" w:rsidRPr="00AF4302">
        <w:t xml:space="preserve">Figure </w:t>
      </w:r>
      <w:r w:rsidR="00882925">
        <w:rPr>
          <w:noProof/>
        </w:rPr>
        <w:t>3</w:t>
      </w:r>
      <w:r w:rsidR="000D4A1D">
        <w:fldChar w:fldCharType="end"/>
      </w:r>
      <w:r>
        <w:t>,</w:t>
      </w:r>
      <w:r w:rsidR="00B76E24">
        <w:t xml:space="preserve"> </w:t>
      </w:r>
      <w:r w:rsidR="00B46E0F">
        <w:t>omit</w:t>
      </w:r>
      <w:r>
        <w:t>ting</w:t>
      </w:r>
      <w:r w:rsidR="00B46E0F">
        <w:t xml:space="preserve"> from our calculation individ</w:t>
      </w:r>
      <w:r w:rsidR="00B76E24">
        <w:t xml:space="preserve">uals with no earnings data </w:t>
      </w:r>
      <w:r w:rsidR="00B46E0F">
        <w:t>due to attrit</w:t>
      </w:r>
      <w:r w:rsidR="00B76E24">
        <w:t>ion or labour market inactivity</w:t>
      </w:r>
      <w:r>
        <w:t xml:space="preserve">. We see from </w:t>
      </w:r>
      <w:r w:rsidR="000D4A1D">
        <w:fldChar w:fldCharType="begin"/>
      </w:r>
      <w:r w:rsidR="000D4A1D">
        <w:instrText xml:space="preserve"> REF _Ref112345753 \h </w:instrText>
      </w:r>
      <w:r w:rsidR="000D4A1D">
        <w:fldChar w:fldCharType="separate"/>
      </w:r>
      <w:r w:rsidR="00882925">
        <w:t xml:space="preserve">Table </w:t>
      </w:r>
      <w:r w:rsidR="00882925">
        <w:rPr>
          <w:noProof/>
        </w:rPr>
        <w:t>9</w:t>
      </w:r>
      <w:r w:rsidR="000D4A1D">
        <w:fldChar w:fldCharType="end"/>
      </w:r>
      <w:r w:rsidR="005A04EC">
        <w:t xml:space="preserve"> (overleaf)</w:t>
      </w:r>
      <w:r w:rsidR="000D4A1D">
        <w:t xml:space="preserve"> </w:t>
      </w:r>
      <w:r>
        <w:t>that the likelihood of being included in the earnings calculation increases with decreasing disadvantage</w:t>
      </w:r>
      <w:r w:rsidR="00B76E24">
        <w:t>.</w:t>
      </w:r>
      <w:r>
        <w:t xml:space="preserve"> This is because the least disadvantaged pupils were the most likely to </w:t>
      </w:r>
      <w:r w:rsidR="00492796">
        <w:t>be</w:t>
      </w:r>
      <w:r>
        <w:t xml:space="preserve"> employ</w:t>
      </w:r>
      <w:r w:rsidR="00492796">
        <w:t>ed at age 22</w:t>
      </w:r>
      <w:r>
        <w:t>, as we saw in</w:t>
      </w:r>
      <w:r w:rsidR="000D4A1D">
        <w:t xml:space="preserve"> </w:t>
      </w:r>
      <w:r w:rsidR="000D4A1D">
        <w:fldChar w:fldCharType="begin"/>
      </w:r>
      <w:r w:rsidR="000D4A1D">
        <w:instrText xml:space="preserve"> REF _Ref112345712 \h </w:instrText>
      </w:r>
      <w:r w:rsidR="000D4A1D">
        <w:fldChar w:fldCharType="separate"/>
      </w:r>
      <w:r w:rsidR="00882925">
        <w:t xml:space="preserve">Table </w:t>
      </w:r>
      <w:r w:rsidR="00882925">
        <w:rPr>
          <w:noProof/>
        </w:rPr>
        <w:t>8</w:t>
      </w:r>
      <w:r w:rsidR="000D4A1D">
        <w:fldChar w:fldCharType="end"/>
      </w:r>
      <w:r>
        <w:t xml:space="preserve">. </w:t>
      </w:r>
    </w:p>
    <w:p w14:paraId="53526BD5" w14:textId="1E93D092" w:rsidR="00B46E0F" w:rsidRDefault="002D0278" w:rsidP="00256F5E">
      <w:r>
        <w:t xml:space="preserve">  </w:t>
      </w:r>
    </w:p>
    <w:p w14:paraId="48F31D61" w14:textId="0C6C13C8" w:rsidR="00604AE4" w:rsidRPr="00AF4302" w:rsidRDefault="004851C1" w:rsidP="00604AE4">
      <w:pPr>
        <w:keepNext/>
      </w:pPr>
      <w:r w:rsidRPr="00AF4302">
        <w:rPr>
          <w:noProof/>
          <w:lang w:eastAsia="en-GB"/>
        </w:rPr>
        <w:drawing>
          <wp:inline distT="0" distB="0" distL="0" distR="0" wp14:anchorId="293F8D70" wp14:editId="5866EFC2">
            <wp:extent cx="5507390" cy="360000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1_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7390" cy="3600000"/>
                    </a:xfrm>
                    <a:prstGeom prst="rect">
                      <a:avLst/>
                    </a:prstGeom>
                  </pic:spPr>
                </pic:pic>
              </a:graphicData>
            </a:graphic>
          </wp:inline>
        </w:drawing>
      </w:r>
    </w:p>
    <w:p w14:paraId="2175A7DB" w14:textId="76BD563E" w:rsidR="00604AE4" w:rsidRPr="00AF4302" w:rsidRDefault="00604AE4" w:rsidP="00604AE4">
      <w:pPr>
        <w:pStyle w:val="Caption"/>
      </w:pPr>
      <w:bookmarkStart w:id="12" w:name="_Ref112345740"/>
      <w:r w:rsidRPr="00AF4302">
        <w:t xml:space="preserve">Figure </w:t>
      </w:r>
      <w:r w:rsidR="00E14893">
        <w:fldChar w:fldCharType="begin"/>
      </w:r>
      <w:r w:rsidR="00E14893">
        <w:instrText xml:space="preserve"> SEQ Figure \* ARABIC </w:instrText>
      </w:r>
      <w:r w:rsidR="00E14893">
        <w:fldChar w:fldCharType="separate"/>
      </w:r>
      <w:r w:rsidR="00080770">
        <w:rPr>
          <w:noProof/>
        </w:rPr>
        <w:t>3</w:t>
      </w:r>
      <w:r w:rsidR="00E14893">
        <w:rPr>
          <w:noProof/>
        </w:rPr>
        <w:fldChar w:fldCharType="end"/>
      </w:r>
      <w:bookmarkEnd w:id="12"/>
      <w:r w:rsidRPr="00AF4302">
        <w:t xml:space="preserve">: Chart showing the </w:t>
      </w:r>
      <w:r w:rsidR="004851C1" w:rsidRPr="00AF4302">
        <w:t>average</w:t>
      </w:r>
      <w:r w:rsidRPr="00AF4302">
        <w:t xml:space="preserve"> earnings of the 2013 </w:t>
      </w:r>
      <w:r w:rsidR="00DD4C11">
        <w:t xml:space="preserve">Key Stage 4 </w:t>
      </w:r>
      <w:r w:rsidRPr="00AF4302">
        <w:t>cohort at age 22</w:t>
      </w:r>
      <w:r w:rsidR="004851C1" w:rsidRPr="00AF4302">
        <w:t xml:space="preserve"> by </w:t>
      </w:r>
      <w:r w:rsidRPr="00AF4302">
        <w:t>disadvantage.</w:t>
      </w:r>
      <w:r w:rsidR="004851C1" w:rsidRPr="00AF4302">
        <w:t xml:space="preserve"> Earnings are from both employment and self-employment. The average is taken over individuals who have earnings &gt; 0, ignoring the top and bottom </w:t>
      </w:r>
      <w:r w:rsidR="00CB05E1">
        <w:t>0.</w:t>
      </w:r>
      <w:r w:rsidR="004851C1" w:rsidRPr="00AF4302">
        <w:t xml:space="preserve">5% of earners due to implausible values.  </w:t>
      </w:r>
    </w:p>
    <w:p w14:paraId="18ADC076" w14:textId="12AD549D" w:rsidR="00A136A6" w:rsidRDefault="00A136A6" w:rsidP="00A136A6">
      <w:r>
        <w:t xml:space="preserve">We see some relationship between disadvantage and earnings. </w:t>
      </w:r>
      <w:r w:rsidR="0021792A">
        <w:t>Long-term</w:t>
      </w:r>
      <w:r>
        <w:t xml:space="preserve"> disadvantaged pupils went on to earn £1,700 less at age 22, on average, than those who had never been eligible for FSM. This information is of limited use due to the lack of data on hours worked, and because </w:t>
      </w:r>
      <w:r w:rsidR="00F966E9">
        <w:t xml:space="preserve">long-term </w:t>
      </w:r>
      <w:r>
        <w:t xml:space="preserve">disadvantaged pupils were less likely to be included in the earnings calculation (59% had earnings data compared with 78% of those who had never been eligible for FSM).  </w:t>
      </w:r>
    </w:p>
    <w:p w14:paraId="10544815" w14:textId="77777777" w:rsidR="0021792A" w:rsidRDefault="0021792A" w:rsidP="00A136A6"/>
    <w:p w14:paraId="20972702" w14:textId="621D2EB0" w:rsidR="005A04EC" w:rsidRDefault="005A04EC" w:rsidP="005A04EC">
      <w:pPr>
        <w:pStyle w:val="Caption"/>
        <w:keepNext/>
      </w:pPr>
      <w:bookmarkStart w:id="13" w:name="_Ref112345753"/>
      <w:r>
        <w:t xml:space="preserve">Table </w:t>
      </w:r>
      <w:r w:rsidR="00E14893">
        <w:fldChar w:fldCharType="begin"/>
      </w:r>
      <w:r w:rsidR="00E14893">
        <w:instrText xml:space="preserve"> SEQ Table \* ARABIC </w:instrText>
      </w:r>
      <w:r w:rsidR="00E14893">
        <w:fldChar w:fldCharType="separate"/>
      </w:r>
      <w:r w:rsidR="0005315D">
        <w:rPr>
          <w:noProof/>
        </w:rPr>
        <w:t>9</w:t>
      </w:r>
      <w:r w:rsidR="00E14893">
        <w:rPr>
          <w:noProof/>
        </w:rPr>
        <w:fldChar w:fldCharType="end"/>
      </w:r>
      <w:bookmarkEnd w:id="13"/>
      <w:r>
        <w:t>: Percentage of individuals in the 2013 Key Stage 4 cohort for whom we have earnings data at age 22 by disadvantage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53"/>
        <w:gridCol w:w="1505"/>
        <w:gridCol w:w="1905"/>
      </w:tblGrid>
      <w:tr w:rsidR="005A04EC" w:rsidRPr="00B46E0F" w14:paraId="2E2A8659" w14:textId="77777777" w:rsidTr="00226090">
        <w:trPr>
          <w:jc w:val="center"/>
        </w:trPr>
        <w:tc>
          <w:tcPr>
            <w:tcW w:w="1753" w:type="dxa"/>
            <w:tcBorders>
              <w:bottom w:val="single" w:sz="4" w:space="0" w:color="auto"/>
              <w:right w:val="nil"/>
            </w:tcBorders>
          </w:tcPr>
          <w:p w14:paraId="61C049C5" w14:textId="77777777" w:rsidR="005A04EC" w:rsidRPr="00B46E0F" w:rsidRDefault="005A04EC" w:rsidP="00F821E9"/>
        </w:tc>
        <w:tc>
          <w:tcPr>
            <w:tcW w:w="1505" w:type="dxa"/>
            <w:tcBorders>
              <w:left w:val="nil"/>
              <w:bottom w:val="single" w:sz="4" w:space="0" w:color="auto"/>
              <w:right w:val="nil"/>
            </w:tcBorders>
            <w:vAlign w:val="center"/>
          </w:tcPr>
          <w:p w14:paraId="28DB06CD" w14:textId="77777777" w:rsidR="005A04EC" w:rsidRPr="00B46E0F" w:rsidRDefault="005A04EC" w:rsidP="00226090">
            <w:pPr>
              <w:jc w:val="right"/>
            </w:pPr>
            <w:r w:rsidRPr="00B46E0F">
              <w:t>Cohort size (000s)</w:t>
            </w:r>
          </w:p>
        </w:tc>
        <w:tc>
          <w:tcPr>
            <w:tcW w:w="1905" w:type="dxa"/>
            <w:tcBorders>
              <w:left w:val="nil"/>
              <w:bottom w:val="single" w:sz="4" w:space="0" w:color="auto"/>
            </w:tcBorders>
            <w:vAlign w:val="center"/>
          </w:tcPr>
          <w:p w14:paraId="75A0A017" w14:textId="77777777" w:rsidR="005A04EC" w:rsidRPr="00B46E0F" w:rsidRDefault="005A04EC" w:rsidP="00226090">
            <w:pPr>
              <w:jc w:val="right"/>
            </w:pPr>
            <w:r w:rsidRPr="00B46E0F">
              <w:t>% with earnings data</w:t>
            </w:r>
            <w:r>
              <w:t xml:space="preserve"> at age 22</w:t>
            </w:r>
          </w:p>
        </w:tc>
      </w:tr>
      <w:tr w:rsidR="00226090" w:rsidRPr="00B46E0F" w14:paraId="3B045D60" w14:textId="77777777" w:rsidTr="00226090">
        <w:trPr>
          <w:jc w:val="center"/>
        </w:trPr>
        <w:tc>
          <w:tcPr>
            <w:tcW w:w="1753" w:type="dxa"/>
            <w:tcBorders>
              <w:top w:val="single" w:sz="4" w:space="0" w:color="auto"/>
              <w:right w:val="nil"/>
            </w:tcBorders>
          </w:tcPr>
          <w:p w14:paraId="3070BEB4" w14:textId="77777777" w:rsidR="00226090" w:rsidRPr="00B46E0F" w:rsidRDefault="00226090" w:rsidP="00226090">
            <w:pPr>
              <w:rPr>
                <w:b/>
              </w:rPr>
            </w:pPr>
            <w:r w:rsidRPr="00B46E0F">
              <w:rPr>
                <w:b/>
              </w:rPr>
              <w:t>Overall</w:t>
            </w:r>
          </w:p>
        </w:tc>
        <w:tc>
          <w:tcPr>
            <w:tcW w:w="1505" w:type="dxa"/>
            <w:tcBorders>
              <w:top w:val="single" w:sz="4" w:space="0" w:color="auto"/>
              <w:left w:val="nil"/>
              <w:right w:val="nil"/>
            </w:tcBorders>
            <w:vAlign w:val="center"/>
          </w:tcPr>
          <w:p w14:paraId="7050C5F8" w14:textId="5E9B1F3E" w:rsidR="00226090" w:rsidRPr="00226090" w:rsidRDefault="00226090" w:rsidP="00226090">
            <w:pPr>
              <w:jc w:val="right"/>
              <w:rPr>
                <w:b/>
              </w:rPr>
            </w:pPr>
            <w:r w:rsidRPr="00226090">
              <w:rPr>
                <w:b/>
              </w:rPr>
              <w:t>599.3</w:t>
            </w:r>
          </w:p>
        </w:tc>
        <w:tc>
          <w:tcPr>
            <w:tcW w:w="1905" w:type="dxa"/>
            <w:tcBorders>
              <w:top w:val="single" w:sz="4" w:space="0" w:color="auto"/>
              <w:left w:val="nil"/>
            </w:tcBorders>
            <w:vAlign w:val="center"/>
          </w:tcPr>
          <w:p w14:paraId="65C7BF57" w14:textId="77777777" w:rsidR="00226090" w:rsidRPr="00B46E0F" w:rsidRDefault="00226090" w:rsidP="00226090">
            <w:pPr>
              <w:jc w:val="right"/>
              <w:rPr>
                <w:b/>
              </w:rPr>
            </w:pPr>
            <w:r w:rsidRPr="00B46E0F">
              <w:rPr>
                <w:b/>
              </w:rPr>
              <w:t>74%</w:t>
            </w:r>
          </w:p>
        </w:tc>
      </w:tr>
      <w:tr w:rsidR="00226090" w:rsidRPr="00B46E0F" w14:paraId="2AAB1ED5" w14:textId="77777777" w:rsidTr="00226090">
        <w:trPr>
          <w:jc w:val="center"/>
        </w:trPr>
        <w:tc>
          <w:tcPr>
            <w:tcW w:w="1753" w:type="dxa"/>
            <w:tcBorders>
              <w:right w:val="nil"/>
            </w:tcBorders>
          </w:tcPr>
          <w:p w14:paraId="317EED83" w14:textId="77777777" w:rsidR="00226090" w:rsidRPr="00B46E0F" w:rsidRDefault="00226090" w:rsidP="00226090"/>
        </w:tc>
        <w:tc>
          <w:tcPr>
            <w:tcW w:w="1505" w:type="dxa"/>
            <w:tcBorders>
              <w:left w:val="nil"/>
              <w:right w:val="nil"/>
            </w:tcBorders>
            <w:vAlign w:val="center"/>
          </w:tcPr>
          <w:p w14:paraId="6D6A98EC" w14:textId="77777777" w:rsidR="00226090" w:rsidRPr="00B46E0F" w:rsidRDefault="00226090" w:rsidP="00226090">
            <w:pPr>
              <w:jc w:val="right"/>
            </w:pPr>
          </w:p>
        </w:tc>
        <w:tc>
          <w:tcPr>
            <w:tcW w:w="1905" w:type="dxa"/>
            <w:tcBorders>
              <w:left w:val="nil"/>
            </w:tcBorders>
            <w:vAlign w:val="center"/>
          </w:tcPr>
          <w:p w14:paraId="2D7989E0" w14:textId="77777777" w:rsidR="00226090" w:rsidRPr="00B46E0F" w:rsidRDefault="00226090" w:rsidP="00226090">
            <w:pPr>
              <w:jc w:val="right"/>
            </w:pPr>
          </w:p>
        </w:tc>
      </w:tr>
      <w:tr w:rsidR="00226090" w:rsidRPr="00B46E0F" w14:paraId="1F19B600" w14:textId="77777777" w:rsidTr="00226090">
        <w:trPr>
          <w:jc w:val="center"/>
        </w:trPr>
        <w:tc>
          <w:tcPr>
            <w:tcW w:w="1753" w:type="dxa"/>
            <w:tcBorders>
              <w:right w:val="nil"/>
            </w:tcBorders>
          </w:tcPr>
          <w:p w14:paraId="01CA9DA9" w14:textId="77777777" w:rsidR="00226090" w:rsidRPr="00B46E0F" w:rsidRDefault="00226090" w:rsidP="00226090">
            <w:r w:rsidRPr="00B46E0F">
              <w:t>Never FSM</w:t>
            </w:r>
          </w:p>
        </w:tc>
        <w:tc>
          <w:tcPr>
            <w:tcW w:w="1505" w:type="dxa"/>
            <w:tcBorders>
              <w:left w:val="nil"/>
              <w:right w:val="nil"/>
            </w:tcBorders>
            <w:vAlign w:val="center"/>
          </w:tcPr>
          <w:p w14:paraId="550F0C6C" w14:textId="2AE9E3EC" w:rsidR="00226090" w:rsidRPr="00B46E0F" w:rsidRDefault="00226090" w:rsidP="00226090">
            <w:pPr>
              <w:jc w:val="right"/>
            </w:pPr>
            <w:r w:rsidRPr="00002A96">
              <w:t>400.0</w:t>
            </w:r>
          </w:p>
        </w:tc>
        <w:tc>
          <w:tcPr>
            <w:tcW w:w="1905" w:type="dxa"/>
            <w:tcBorders>
              <w:left w:val="nil"/>
            </w:tcBorders>
            <w:vAlign w:val="center"/>
          </w:tcPr>
          <w:p w14:paraId="3D5C75A3" w14:textId="61B92760" w:rsidR="00226090" w:rsidRPr="00B46E0F" w:rsidRDefault="00226090" w:rsidP="00226090">
            <w:pPr>
              <w:jc w:val="right"/>
            </w:pPr>
            <w:r w:rsidRPr="00B46E0F">
              <w:t>7</w:t>
            </w:r>
            <w:r>
              <w:t>7</w:t>
            </w:r>
            <w:r w:rsidRPr="00B46E0F">
              <w:t>%</w:t>
            </w:r>
          </w:p>
        </w:tc>
      </w:tr>
      <w:tr w:rsidR="00226090" w:rsidRPr="00B46E0F" w14:paraId="7F338433" w14:textId="77777777" w:rsidTr="00226090">
        <w:trPr>
          <w:jc w:val="center"/>
        </w:trPr>
        <w:tc>
          <w:tcPr>
            <w:tcW w:w="1753" w:type="dxa"/>
            <w:tcBorders>
              <w:right w:val="nil"/>
            </w:tcBorders>
          </w:tcPr>
          <w:p w14:paraId="3867D1ED" w14:textId="77777777" w:rsidR="00226090" w:rsidRPr="00B46E0F" w:rsidRDefault="00226090" w:rsidP="00226090">
            <w:r w:rsidRPr="00B46E0F">
              <w:t>&lt;= 25%</w:t>
            </w:r>
          </w:p>
        </w:tc>
        <w:tc>
          <w:tcPr>
            <w:tcW w:w="1505" w:type="dxa"/>
            <w:tcBorders>
              <w:left w:val="nil"/>
              <w:right w:val="nil"/>
            </w:tcBorders>
            <w:vAlign w:val="center"/>
          </w:tcPr>
          <w:p w14:paraId="01ED4638" w14:textId="5E75A36F" w:rsidR="00226090" w:rsidRPr="00B46E0F" w:rsidRDefault="00226090" w:rsidP="00226090">
            <w:pPr>
              <w:jc w:val="right"/>
            </w:pPr>
            <w:r w:rsidRPr="00002A96">
              <w:t>53.4</w:t>
            </w:r>
          </w:p>
        </w:tc>
        <w:tc>
          <w:tcPr>
            <w:tcW w:w="1905" w:type="dxa"/>
            <w:tcBorders>
              <w:left w:val="nil"/>
            </w:tcBorders>
            <w:vAlign w:val="center"/>
          </w:tcPr>
          <w:p w14:paraId="06AB9303" w14:textId="7E0F27E6" w:rsidR="00226090" w:rsidRPr="00B46E0F" w:rsidRDefault="00226090" w:rsidP="00226090">
            <w:pPr>
              <w:jc w:val="right"/>
            </w:pPr>
            <w:r>
              <w:t>73</w:t>
            </w:r>
            <w:r w:rsidRPr="00B46E0F">
              <w:t>%</w:t>
            </w:r>
          </w:p>
        </w:tc>
      </w:tr>
      <w:tr w:rsidR="00226090" w:rsidRPr="00B46E0F" w14:paraId="64C7001E" w14:textId="77777777" w:rsidTr="00226090">
        <w:trPr>
          <w:jc w:val="center"/>
        </w:trPr>
        <w:tc>
          <w:tcPr>
            <w:tcW w:w="1753" w:type="dxa"/>
            <w:tcBorders>
              <w:right w:val="nil"/>
            </w:tcBorders>
          </w:tcPr>
          <w:p w14:paraId="76638C81" w14:textId="77777777" w:rsidR="00226090" w:rsidRPr="00B46E0F" w:rsidRDefault="00226090" w:rsidP="00226090">
            <w:r w:rsidRPr="00B46E0F">
              <w:t>25% to 50%</w:t>
            </w:r>
          </w:p>
        </w:tc>
        <w:tc>
          <w:tcPr>
            <w:tcW w:w="1505" w:type="dxa"/>
            <w:tcBorders>
              <w:left w:val="nil"/>
              <w:right w:val="nil"/>
            </w:tcBorders>
            <w:vAlign w:val="center"/>
          </w:tcPr>
          <w:p w14:paraId="641228D2" w14:textId="79887A06" w:rsidR="00226090" w:rsidRPr="00B46E0F" w:rsidRDefault="00226090" w:rsidP="00226090">
            <w:pPr>
              <w:jc w:val="right"/>
            </w:pPr>
            <w:r w:rsidRPr="00002A96">
              <w:t>48.0</w:t>
            </w:r>
          </w:p>
        </w:tc>
        <w:tc>
          <w:tcPr>
            <w:tcW w:w="1905" w:type="dxa"/>
            <w:tcBorders>
              <w:left w:val="nil"/>
            </w:tcBorders>
            <w:vAlign w:val="center"/>
          </w:tcPr>
          <w:p w14:paraId="27B4F926" w14:textId="77777777" w:rsidR="00226090" w:rsidRPr="00B46E0F" w:rsidRDefault="00226090" w:rsidP="00226090">
            <w:pPr>
              <w:jc w:val="right"/>
            </w:pPr>
            <w:r w:rsidRPr="00B46E0F">
              <w:t>70%</w:t>
            </w:r>
          </w:p>
        </w:tc>
      </w:tr>
      <w:tr w:rsidR="00226090" w:rsidRPr="00B46E0F" w14:paraId="28C854D3" w14:textId="77777777" w:rsidTr="00226090">
        <w:trPr>
          <w:jc w:val="center"/>
        </w:trPr>
        <w:tc>
          <w:tcPr>
            <w:tcW w:w="1753" w:type="dxa"/>
            <w:tcBorders>
              <w:right w:val="nil"/>
            </w:tcBorders>
          </w:tcPr>
          <w:p w14:paraId="415C6C85" w14:textId="77777777" w:rsidR="00226090" w:rsidRPr="00B46E0F" w:rsidRDefault="00226090" w:rsidP="00226090">
            <w:r w:rsidRPr="00B46E0F">
              <w:t>50% to 80%</w:t>
            </w:r>
          </w:p>
        </w:tc>
        <w:tc>
          <w:tcPr>
            <w:tcW w:w="1505" w:type="dxa"/>
            <w:tcBorders>
              <w:left w:val="nil"/>
              <w:right w:val="nil"/>
            </w:tcBorders>
            <w:vAlign w:val="center"/>
          </w:tcPr>
          <w:p w14:paraId="11BBFA31" w14:textId="34940D31" w:rsidR="00226090" w:rsidRPr="00B46E0F" w:rsidRDefault="00226090" w:rsidP="00226090">
            <w:pPr>
              <w:jc w:val="right"/>
            </w:pPr>
            <w:r w:rsidRPr="00002A96">
              <w:t>48.7</w:t>
            </w:r>
          </w:p>
        </w:tc>
        <w:tc>
          <w:tcPr>
            <w:tcW w:w="1905" w:type="dxa"/>
            <w:tcBorders>
              <w:left w:val="nil"/>
            </w:tcBorders>
            <w:vAlign w:val="center"/>
          </w:tcPr>
          <w:p w14:paraId="7379F567" w14:textId="49158AA9" w:rsidR="00226090" w:rsidRPr="00B46E0F" w:rsidRDefault="00226090" w:rsidP="00226090">
            <w:pPr>
              <w:jc w:val="right"/>
            </w:pPr>
            <w:r>
              <w:t>64</w:t>
            </w:r>
            <w:r w:rsidRPr="00B46E0F">
              <w:t>%</w:t>
            </w:r>
          </w:p>
        </w:tc>
      </w:tr>
      <w:tr w:rsidR="00226090" w:rsidRPr="00B46E0F" w14:paraId="41901B9C" w14:textId="77777777" w:rsidTr="00226090">
        <w:trPr>
          <w:jc w:val="center"/>
        </w:trPr>
        <w:tc>
          <w:tcPr>
            <w:tcW w:w="1753" w:type="dxa"/>
            <w:tcBorders>
              <w:right w:val="nil"/>
            </w:tcBorders>
          </w:tcPr>
          <w:p w14:paraId="286AE56A" w14:textId="77777777" w:rsidR="00226090" w:rsidRPr="00B46E0F" w:rsidRDefault="00226090" w:rsidP="00226090">
            <w:r w:rsidRPr="00B46E0F">
              <w:t>80%+</w:t>
            </w:r>
          </w:p>
        </w:tc>
        <w:tc>
          <w:tcPr>
            <w:tcW w:w="1505" w:type="dxa"/>
            <w:tcBorders>
              <w:left w:val="nil"/>
              <w:right w:val="nil"/>
            </w:tcBorders>
            <w:vAlign w:val="center"/>
          </w:tcPr>
          <w:p w14:paraId="27EFE748" w14:textId="3A02C277" w:rsidR="00226090" w:rsidRPr="00B46E0F" w:rsidRDefault="00226090" w:rsidP="00226090">
            <w:pPr>
              <w:jc w:val="right"/>
            </w:pPr>
            <w:r w:rsidRPr="00002A96">
              <w:t>49.2</w:t>
            </w:r>
          </w:p>
        </w:tc>
        <w:tc>
          <w:tcPr>
            <w:tcW w:w="1905" w:type="dxa"/>
            <w:tcBorders>
              <w:left w:val="nil"/>
            </w:tcBorders>
            <w:vAlign w:val="center"/>
          </w:tcPr>
          <w:p w14:paraId="39886B7B" w14:textId="77777777" w:rsidR="00226090" w:rsidRPr="00B46E0F" w:rsidRDefault="00226090" w:rsidP="00226090">
            <w:pPr>
              <w:jc w:val="right"/>
            </w:pPr>
            <w:r w:rsidRPr="00B46E0F">
              <w:t>59%</w:t>
            </w:r>
          </w:p>
        </w:tc>
      </w:tr>
    </w:tbl>
    <w:p w14:paraId="2596ADD2" w14:textId="5A6FBE78" w:rsidR="005A04EC" w:rsidRPr="00AF4302" w:rsidRDefault="005A04EC" w:rsidP="00A136A6"/>
    <w:p w14:paraId="2A4FF035" w14:textId="15096D23" w:rsidR="00C1659E" w:rsidRDefault="00346ED9" w:rsidP="002B7C0D">
      <w:pPr>
        <w:pStyle w:val="Heading3"/>
      </w:pPr>
      <w:r>
        <w:t>3</w:t>
      </w:r>
      <w:r w:rsidR="00A3183D">
        <w:t xml:space="preserve">.3. </w:t>
      </w:r>
      <w:r w:rsidR="009C5C95" w:rsidRPr="00AF4302">
        <w:t>Education</w:t>
      </w:r>
      <w:r w:rsidR="002B7C0D">
        <w:t>al attainment</w:t>
      </w:r>
    </w:p>
    <w:p w14:paraId="1E65243B" w14:textId="0A38BDA5" w:rsidR="00813F83" w:rsidRPr="00AF4302" w:rsidRDefault="00840C95" w:rsidP="00820F4A">
      <w:pPr>
        <w:pStyle w:val="Heading4"/>
      </w:pPr>
      <w:r>
        <w:t>Highest qualification level</w:t>
      </w:r>
    </w:p>
    <w:p w14:paraId="606D5974" w14:textId="6FC9DEAE" w:rsidR="00B348A7" w:rsidRPr="00AF4302" w:rsidRDefault="003C66CB" w:rsidP="00B348A7">
      <w:pPr>
        <w:keepNext/>
      </w:pPr>
      <w:r>
        <w:rPr>
          <w:noProof/>
          <w:lang w:eastAsia="en-GB"/>
        </w:rPr>
        <w:drawing>
          <wp:inline distT="0" distB="0" distL="0" distR="0" wp14:anchorId="2E70A722" wp14:editId="259FD679">
            <wp:extent cx="5476875" cy="357702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_3_Fig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3585" cy="3581402"/>
                    </a:xfrm>
                    <a:prstGeom prst="rect">
                      <a:avLst/>
                    </a:prstGeom>
                  </pic:spPr>
                </pic:pic>
              </a:graphicData>
            </a:graphic>
          </wp:inline>
        </w:drawing>
      </w:r>
    </w:p>
    <w:p w14:paraId="64A7496D" w14:textId="2725F888" w:rsidR="00CF2B53" w:rsidRPr="00AF4302" w:rsidRDefault="00B348A7" w:rsidP="00B348A7">
      <w:pPr>
        <w:pStyle w:val="Caption"/>
      </w:pPr>
      <w:bookmarkStart w:id="14" w:name="_Ref112345782"/>
      <w:r w:rsidRPr="00AF4302">
        <w:t xml:space="preserve">Figure </w:t>
      </w:r>
      <w:r w:rsidR="00E14893">
        <w:fldChar w:fldCharType="begin"/>
      </w:r>
      <w:r w:rsidR="00E14893">
        <w:instrText xml:space="preserve"> SEQ Figure \* ARABIC </w:instrText>
      </w:r>
      <w:r w:rsidR="00E14893">
        <w:fldChar w:fldCharType="separate"/>
      </w:r>
      <w:r w:rsidR="00080770">
        <w:rPr>
          <w:noProof/>
        </w:rPr>
        <w:t>4</w:t>
      </w:r>
      <w:r w:rsidR="00E14893">
        <w:rPr>
          <w:noProof/>
        </w:rPr>
        <w:fldChar w:fldCharType="end"/>
      </w:r>
      <w:bookmarkEnd w:id="14"/>
      <w:r w:rsidRPr="00AF4302">
        <w:t xml:space="preserve">: Chart showing the proportion of the 2013 </w:t>
      </w:r>
      <w:r w:rsidR="00DD4C11">
        <w:t xml:space="preserve">Key Stage 4 </w:t>
      </w:r>
      <w:r w:rsidRPr="00AF4302">
        <w:t xml:space="preserve">cohort who achieved qualifications at NQF levels 1, 2 and 3 by the age of </w:t>
      </w:r>
      <w:r w:rsidR="00813F83" w:rsidRPr="00AF4302">
        <w:t>18</w:t>
      </w:r>
      <w:r w:rsidRPr="00AF4302">
        <w:t xml:space="preserve">. The results are split by </w:t>
      </w:r>
      <w:r w:rsidR="00974792" w:rsidRPr="00AF4302">
        <w:t>disadvantage</w:t>
      </w:r>
      <w:r w:rsidRPr="00AF4302">
        <w:t>. NQF level 1 is equivalent to achieving 5 GCSEs at grade 9-1</w:t>
      </w:r>
      <w:r w:rsidR="00A136A6">
        <w:t xml:space="preserve"> (A*-G)</w:t>
      </w:r>
      <w:r w:rsidRPr="00AF4302">
        <w:t>, level 2 to 5 GCSEs at grade 9-4</w:t>
      </w:r>
      <w:r w:rsidR="00A136A6">
        <w:t xml:space="preserve"> (A*-C)</w:t>
      </w:r>
      <w:r w:rsidRPr="00AF4302">
        <w:t xml:space="preserve">, and level 3 to </w:t>
      </w:r>
      <w:r w:rsidR="00A136A6">
        <w:t>two</w:t>
      </w:r>
      <w:r w:rsidRPr="00AF4302">
        <w:t xml:space="preserve"> A-levels. </w:t>
      </w:r>
    </w:p>
    <w:p w14:paraId="2DB18C49" w14:textId="65650007" w:rsidR="00813F83" w:rsidRDefault="000D4A1D" w:rsidP="00C1659E">
      <w:r>
        <w:fldChar w:fldCharType="begin"/>
      </w:r>
      <w:r>
        <w:instrText xml:space="preserve"> REF _Ref112345782 \h </w:instrText>
      </w:r>
      <w:r>
        <w:fldChar w:fldCharType="separate"/>
      </w:r>
      <w:r w:rsidR="00882925" w:rsidRPr="00AF4302">
        <w:t xml:space="preserve">Figure </w:t>
      </w:r>
      <w:r w:rsidR="00882925">
        <w:rPr>
          <w:noProof/>
        </w:rPr>
        <w:t>4</w:t>
      </w:r>
      <w:r>
        <w:fldChar w:fldCharType="end"/>
      </w:r>
      <w:r w:rsidR="00840C95">
        <w:t xml:space="preserve"> shows the highest level of qualification achieved by members of the </w:t>
      </w:r>
      <w:r w:rsidR="005A04EC">
        <w:t xml:space="preserve">2013 </w:t>
      </w:r>
      <w:r w:rsidR="00840C95">
        <w:t xml:space="preserve">cohort by the end of the year they turn 18. </w:t>
      </w:r>
      <w:r w:rsidR="0021792A">
        <w:t>Long-term</w:t>
      </w:r>
      <w:r w:rsidR="00840C95">
        <w:t xml:space="preserve"> disadvantaged pupils were </w:t>
      </w:r>
      <w:r w:rsidR="00820F4A">
        <w:t xml:space="preserve">the </w:t>
      </w:r>
      <w:r w:rsidR="00840C95">
        <w:t>most likely to have</w:t>
      </w:r>
      <w:r w:rsidR="00820F4A">
        <w:t xml:space="preserve"> only</w:t>
      </w:r>
      <w:r w:rsidR="00840C95">
        <w:t xml:space="preserve"> achieved qualifications at level 1</w:t>
      </w:r>
      <w:r w:rsidR="00492796" w:rsidRPr="00492796">
        <w:rPr>
          <w:vertAlign w:val="superscript"/>
        </w:rPr>
        <w:fldChar w:fldCharType="begin"/>
      </w:r>
      <w:r w:rsidR="00492796" w:rsidRPr="00492796">
        <w:rPr>
          <w:vertAlign w:val="superscript"/>
        </w:rPr>
        <w:instrText xml:space="preserve"> NOTEREF _Ref112343747 \h </w:instrText>
      </w:r>
      <w:r w:rsidR="00492796">
        <w:rPr>
          <w:vertAlign w:val="superscript"/>
        </w:rPr>
        <w:instrText xml:space="preserve"> \* MERGEFORMAT </w:instrText>
      </w:r>
      <w:r w:rsidR="00492796" w:rsidRPr="00492796">
        <w:rPr>
          <w:vertAlign w:val="superscript"/>
        </w:rPr>
      </w:r>
      <w:r w:rsidR="00492796" w:rsidRPr="00492796">
        <w:rPr>
          <w:vertAlign w:val="superscript"/>
        </w:rPr>
        <w:fldChar w:fldCharType="separate"/>
      </w:r>
      <w:r w:rsidR="00882925">
        <w:rPr>
          <w:vertAlign w:val="superscript"/>
        </w:rPr>
        <w:t>6</w:t>
      </w:r>
      <w:r w:rsidR="00492796" w:rsidRPr="00492796">
        <w:rPr>
          <w:vertAlign w:val="superscript"/>
        </w:rPr>
        <w:fldChar w:fldCharType="end"/>
      </w:r>
      <w:r w:rsidR="00840C95">
        <w:t xml:space="preserve"> or below - around three times more likely than those who were never eligible for FSM (4</w:t>
      </w:r>
      <w:r w:rsidR="009A7B74">
        <w:t>1</w:t>
      </w:r>
      <w:r w:rsidR="00840C95">
        <w:t>% vs 1</w:t>
      </w:r>
      <w:r w:rsidR="009A7B74">
        <w:t>3</w:t>
      </w:r>
      <w:r w:rsidR="00840C95">
        <w:t>%). They were also the least likely to have achieved qualifications</w:t>
      </w:r>
      <w:r w:rsidR="00D7721A">
        <w:t xml:space="preserve"> at level 3 and above</w:t>
      </w:r>
      <w:r w:rsidR="00840C95">
        <w:t xml:space="preserve"> – less than half as likely as those who were never eligible for FSM</w:t>
      </w:r>
      <w:r w:rsidR="00820F4A">
        <w:t xml:space="preserve"> (2</w:t>
      </w:r>
      <w:r w:rsidR="009A7B74">
        <w:t>3</w:t>
      </w:r>
      <w:r w:rsidR="00820F4A">
        <w:t>% vs 5</w:t>
      </w:r>
      <w:r w:rsidR="009A7B74">
        <w:t>7</w:t>
      </w:r>
      <w:r w:rsidR="00820F4A">
        <w:t>%)</w:t>
      </w:r>
      <w:r w:rsidR="00840C95">
        <w:t xml:space="preserve">.   </w:t>
      </w:r>
      <w:r w:rsidR="00451E8A" w:rsidRPr="00AF4302">
        <w:t xml:space="preserve"> </w:t>
      </w:r>
    </w:p>
    <w:p w14:paraId="6A435B10" w14:textId="041C4A1A" w:rsidR="005A04EC" w:rsidRPr="00AF4302" w:rsidRDefault="00820F4A" w:rsidP="005A04EC">
      <w:r>
        <w:t xml:space="preserve">This gap in qualification rates did not narrow in as the individuals aged. </w:t>
      </w:r>
      <w:r w:rsidR="000D4A1D">
        <w:fldChar w:fldCharType="begin"/>
      </w:r>
      <w:r w:rsidR="000D4A1D">
        <w:instrText xml:space="preserve"> REF _Ref112345795 \h </w:instrText>
      </w:r>
      <w:r w:rsidR="000D4A1D">
        <w:fldChar w:fldCharType="separate"/>
      </w:r>
      <w:r w:rsidR="00882925" w:rsidRPr="00AF4302">
        <w:t xml:space="preserve">Figure </w:t>
      </w:r>
      <w:r w:rsidR="00882925">
        <w:rPr>
          <w:noProof/>
        </w:rPr>
        <w:t>5</w:t>
      </w:r>
      <w:r w:rsidR="000D4A1D">
        <w:fldChar w:fldCharType="end"/>
      </w:r>
      <w:r w:rsidR="000D4A1D">
        <w:t xml:space="preserve"> </w:t>
      </w:r>
      <w:r>
        <w:t xml:space="preserve">shows the proportion of the cohort who had achieved qualifications at NQF level 3 or greater by ages 18 – 22. </w:t>
      </w:r>
      <w:r w:rsidR="005A04EC">
        <w:t xml:space="preserve">The highest qualification level achieved by age 22 is shown in full in </w:t>
      </w:r>
      <w:r w:rsidR="005A04EC">
        <w:fldChar w:fldCharType="begin"/>
      </w:r>
      <w:r w:rsidR="005A04EC">
        <w:instrText xml:space="preserve"> REF _Ref112345809 \h </w:instrText>
      </w:r>
      <w:r w:rsidR="005A04EC">
        <w:fldChar w:fldCharType="separate"/>
      </w:r>
      <w:r w:rsidR="00882925" w:rsidRPr="00AF4302">
        <w:t xml:space="preserve">Figure </w:t>
      </w:r>
      <w:r w:rsidR="00882925">
        <w:rPr>
          <w:noProof/>
        </w:rPr>
        <w:t>6</w:t>
      </w:r>
      <w:r w:rsidR="005A04EC">
        <w:fldChar w:fldCharType="end"/>
      </w:r>
      <w:r w:rsidR="005A04EC">
        <w:t>.</w:t>
      </w:r>
    </w:p>
    <w:p w14:paraId="71DEF503" w14:textId="2E115700" w:rsidR="00813F83" w:rsidRPr="00AF4302" w:rsidRDefault="00813F83" w:rsidP="00813F83"/>
    <w:p w14:paraId="4AB678F5" w14:textId="0EE2EABB" w:rsidR="00813F83" w:rsidRPr="00AF4302" w:rsidRDefault="003C66CB" w:rsidP="00820F4A">
      <w:pPr>
        <w:keepNext/>
        <w:jc w:val="center"/>
      </w:pPr>
      <w:r>
        <w:rPr>
          <w:noProof/>
          <w:lang w:eastAsia="en-GB"/>
        </w:rPr>
        <w:drawing>
          <wp:inline distT="0" distB="0" distL="0" distR="0" wp14:anchorId="3253B8CA" wp14:editId="18B68AFB">
            <wp:extent cx="5476875" cy="357702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_3_Fig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1756" cy="3580208"/>
                    </a:xfrm>
                    <a:prstGeom prst="rect">
                      <a:avLst/>
                    </a:prstGeom>
                  </pic:spPr>
                </pic:pic>
              </a:graphicData>
            </a:graphic>
          </wp:inline>
        </w:drawing>
      </w:r>
    </w:p>
    <w:p w14:paraId="482ADB1D" w14:textId="256841A8" w:rsidR="00813F83" w:rsidRPr="00AF4302" w:rsidRDefault="00813F83" w:rsidP="00813F83">
      <w:pPr>
        <w:pStyle w:val="Caption"/>
      </w:pPr>
      <w:bookmarkStart w:id="15" w:name="_Ref112345795"/>
      <w:r w:rsidRPr="00AF4302">
        <w:t xml:space="preserve">Figure </w:t>
      </w:r>
      <w:r w:rsidR="00E14893">
        <w:fldChar w:fldCharType="begin"/>
      </w:r>
      <w:r w:rsidR="00E14893">
        <w:instrText xml:space="preserve"> SEQ Figure \* ARABIC </w:instrText>
      </w:r>
      <w:r w:rsidR="00E14893">
        <w:fldChar w:fldCharType="separate"/>
      </w:r>
      <w:r w:rsidR="00080770">
        <w:rPr>
          <w:noProof/>
        </w:rPr>
        <w:t>5</w:t>
      </w:r>
      <w:r w:rsidR="00E14893">
        <w:rPr>
          <w:noProof/>
        </w:rPr>
        <w:fldChar w:fldCharType="end"/>
      </w:r>
      <w:bookmarkEnd w:id="15"/>
      <w:r w:rsidRPr="00AF4302">
        <w:t xml:space="preserve">: A chart showing the proportion of the 2013 </w:t>
      </w:r>
      <w:r w:rsidR="00DD4C11">
        <w:t xml:space="preserve">Key Stage 4 </w:t>
      </w:r>
      <w:r w:rsidRPr="00AF4302">
        <w:t xml:space="preserve">cohort who achieved qualifications at NQF level 3 or above by different ages. </w:t>
      </w:r>
      <w:r w:rsidR="00974792" w:rsidRPr="00AF4302">
        <w:t>Results are</w:t>
      </w:r>
      <w:r w:rsidRPr="00AF4302">
        <w:t xml:space="preserve"> shown for those who were eligible for </w:t>
      </w:r>
      <w:r w:rsidR="00645726" w:rsidRPr="00AF4302">
        <w:t>free school meals (FSM)</w:t>
      </w:r>
      <w:r w:rsidRPr="00AF4302">
        <w:t xml:space="preserve"> for at least 80% of school terms, those who were eligible for </w:t>
      </w:r>
      <w:r w:rsidR="00A55963" w:rsidRPr="00AF4302">
        <w:t>25% of terms or less</w:t>
      </w:r>
      <w:r w:rsidRPr="00AF4302">
        <w:t xml:space="preserve">, and for </w:t>
      </w:r>
      <w:r w:rsidR="00A55963" w:rsidRPr="00AF4302">
        <w:t>those who were never eligible</w:t>
      </w:r>
      <w:r w:rsidRPr="00AF4302">
        <w:t xml:space="preserve">. NQF level 3 is the equivalent of </w:t>
      </w:r>
      <w:r w:rsidR="00A136A6">
        <w:t>two</w:t>
      </w:r>
      <w:r w:rsidRPr="00AF4302">
        <w:t xml:space="preserve"> A-levels.</w:t>
      </w:r>
    </w:p>
    <w:p w14:paraId="549313DA" w14:textId="6023321B" w:rsidR="00813F83" w:rsidRPr="00AF4302" w:rsidRDefault="003C66CB" w:rsidP="001D092A">
      <w:pPr>
        <w:keepNext/>
        <w:jc w:val="center"/>
      </w:pPr>
      <w:r>
        <w:rPr>
          <w:noProof/>
          <w:lang w:eastAsia="en-GB"/>
        </w:rPr>
        <w:drawing>
          <wp:inline distT="0" distB="0" distL="0" distR="0" wp14:anchorId="414627ED" wp14:editId="7842E7C2">
            <wp:extent cx="5267325" cy="344015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_3_Fig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0741" cy="3448920"/>
                    </a:xfrm>
                    <a:prstGeom prst="rect">
                      <a:avLst/>
                    </a:prstGeom>
                  </pic:spPr>
                </pic:pic>
              </a:graphicData>
            </a:graphic>
          </wp:inline>
        </w:drawing>
      </w:r>
    </w:p>
    <w:p w14:paraId="2E9831E0" w14:textId="07A31388" w:rsidR="00813F83" w:rsidRDefault="00813F83" w:rsidP="00813F83">
      <w:pPr>
        <w:pStyle w:val="Caption"/>
      </w:pPr>
      <w:bookmarkStart w:id="16" w:name="_Ref112345809"/>
      <w:r w:rsidRPr="00AF4302">
        <w:t xml:space="preserve">Figure </w:t>
      </w:r>
      <w:r w:rsidR="00E14893">
        <w:fldChar w:fldCharType="begin"/>
      </w:r>
      <w:r w:rsidR="00E14893">
        <w:instrText xml:space="preserve"> SEQ Figure </w:instrText>
      </w:r>
      <w:r w:rsidR="00E14893">
        <w:instrText xml:space="preserve">\* ARABIC </w:instrText>
      </w:r>
      <w:r w:rsidR="00E14893">
        <w:fldChar w:fldCharType="separate"/>
      </w:r>
      <w:r w:rsidR="00080770">
        <w:rPr>
          <w:noProof/>
        </w:rPr>
        <w:t>6</w:t>
      </w:r>
      <w:r w:rsidR="00E14893">
        <w:rPr>
          <w:noProof/>
        </w:rPr>
        <w:fldChar w:fldCharType="end"/>
      </w:r>
      <w:bookmarkEnd w:id="16"/>
      <w:r w:rsidRPr="00AF4302">
        <w:t xml:space="preserve">: Chart showing the proportion of the 2013 </w:t>
      </w:r>
      <w:r w:rsidR="00DD4C11">
        <w:t xml:space="preserve">Key Stage 4 </w:t>
      </w:r>
      <w:r w:rsidRPr="00AF4302">
        <w:t xml:space="preserve">cohort who achieved qualifications at NQF levels 1, 2 and 3 by the age of </w:t>
      </w:r>
      <w:r w:rsidR="00645726" w:rsidRPr="00AF4302">
        <w:t>22</w:t>
      </w:r>
      <w:r w:rsidRPr="00AF4302">
        <w:t xml:space="preserve">. The results are split by </w:t>
      </w:r>
      <w:r w:rsidR="00974792" w:rsidRPr="00AF4302">
        <w:t>disadvantage</w:t>
      </w:r>
      <w:r w:rsidRPr="00AF4302">
        <w:t>. NQF level 1 is equivalent to achieving 5 GCSEs at grade 9-1</w:t>
      </w:r>
      <w:r w:rsidR="00A136A6">
        <w:t xml:space="preserve"> (A*-G)</w:t>
      </w:r>
      <w:r w:rsidRPr="00AF4302">
        <w:t>, level 2 to 5 GCSEs at grade 9-4</w:t>
      </w:r>
      <w:r w:rsidR="00A136A6">
        <w:t xml:space="preserve"> (A*-C)</w:t>
      </w:r>
      <w:r w:rsidRPr="00AF4302">
        <w:t xml:space="preserve">, and level 3 to </w:t>
      </w:r>
      <w:r w:rsidR="00A136A6">
        <w:t>two</w:t>
      </w:r>
      <w:r w:rsidRPr="00AF4302">
        <w:t xml:space="preserve"> A-levels.</w:t>
      </w:r>
    </w:p>
    <w:p w14:paraId="24DCA4B9" w14:textId="431569FE" w:rsidR="005A04EC" w:rsidRPr="005A04EC" w:rsidRDefault="005A04EC" w:rsidP="005A04EC">
      <w:r>
        <w:lastRenderedPageBreak/>
        <w:t xml:space="preserve">Although the proportion of </w:t>
      </w:r>
      <w:r w:rsidR="0021792A">
        <w:t>those who were long-term</w:t>
      </w:r>
      <w:r>
        <w:t xml:space="preserve"> disadvantaged achieving such qualifications increased (from 2</w:t>
      </w:r>
      <w:r w:rsidR="009A7B74">
        <w:t>3</w:t>
      </w:r>
      <w:r>
        <w:t>% by age 18 to 3</w:t>
      </w:r>
      <w:r w:rsidR="009A7B74">
        <w:t>7</w:t>
      </w:r>
      <w:r>
        <w:t>% by age 22) the gap between the</w:t>
      </w:r>
      <w:r w:rsidR="0021792A">
        <w:t>m</w:t>
      </w:r>
      <w:r>
        <w:t xml:space="preserve"> and those who had never been eligible for FSM remained roughly the same. </w:t>
      </w:r>
    </w:p>
    <w:p w14:paraId="321FEDB8" w14:textId="0E5D9797" w:rsidR="00645726" w:rsidRPr="00AF4302" w:rsidRDefault="001D092A" w:rsidP="004851C1">
      <w:pPr>
        <w:pStyle w:val="Heading4"/>
        <w:rPr>
          <w:rFonts w:ascii="Avenir LT Std 35 Light" w:hAnsi="Avenir LT Std 35 Light"/>
        </w:rPr>
      </w:pPr>
      <w:r>
        <w:rPr>
          <w:rFonts w:ascii="Avenir LT Std 35 Light" w:hAnsi="Avenir LT Std 35 Light"/>
        </w:rPr>
        <w:t>E</w:t>
      </w:r>
      <w:r w:rsidR="009C5C95" w:rsidRPr="00AF4302">
        <w:rPr>
          <w:rFonts w:ascii="Avenir LT Std 35 Light" w:hAnsi="Avenir LT Std 35 Light"/>
        </w:rPr>
        <w:t>nrol</w:t>
      </w:r>
      <w:r>
        <w:rPr>
          <w:rFonts w:ascii="Avenir LT Std 35 Light" w:hAnsi="Avenir LT Std 35 Light"/>
        </w:rPr>
        <w:t>ment at</w:t>
      </w:r>
      <w:r w:rsidR="009C5C95" w:rsidRPr="00AF4302">
        <w:rPr>
          <w:rFonts w:ascii="Avenir LT Std 35 Light" w:hAnsi="Avenir LT Std 35 Light"/>
        </w:rPr>
        <w:t xml:space="preserve"> a higher education institution at the age of 21</w:t>
      </w:r>
    </w:p>
    <w:p w14:paraId="7EBB52C0" w14:textId="773AC8DD" w:rsidR="002818D3" w:rsidRPr="00AF4302" w:rsidRDefault="001D092A" w:rsidP="002818D3">
      <w:r>
        <w:t>Perhaps unsurprisingly given the relationship between disadvantage and qualification rates, the percentage of individuals enrolled on a degree-level course at a higher education institution at the age of 21 decreased with increasing disadvantage, as shown in</w:t>
      </w:r>
      <w:r w:rsidR="000D4A1D">
        <w:t xml:space="preserve"> </w:t>
      </w:r>
      <w:r w:rsidR="000D4A1D">
        <w:fldChar w:fldCharType="begin"/>
      </w:r>
      <w:r w:rsidR="000D4A1D">
        <w:instrText xml:space="preserve"> REF _Ref112345818 \h </w:instrText>
      </w:r>
      <w:r w:rsidR="000D4A1D">
        <w:fldChar w:fldCharType="separate"/>
      </w:r>
      <w:r w:rsidR="00882925" w:rsidRPr="00AF4302">
        <w:t xml:space="preserve">Figure </w:t>
      </w:r>
      <w:r w:rsidR="00882925">
        <w:rPr>
          <w:noProof/>
        </w:rPr>
        <w:t>7</w:t>
      </w:r>
      <w:r w:rsidR="000D4A1D">
        <w:fldChar w:fldCharType="end"/>
      </w:r>
      <w:r>
        <w:t>.</w:t>
      </w:r>
    </w:p>
    <w:p w14:paraId="279A0E26" w14:textId="0C2B18F1" w:rsidR="00F642A9" w:rsidRPr="00AF4302" w:rsidRDefault="00C160CE" w:rsidP="00F642A9">
      <w:pPr>
        <w:keepNext/>
      </w:pPr>
      <w:r>
        <w:rPr>
          <w:noProof/>
          <w:lang w:eastAsia="en-GB"/>
        </w:rPr>
        <w:drawing>
          <wp:inline distT="0" distB="0" distL="0" distR="0" wp14:anchorId="6C688BDF" wp14:editId="790E0D6F">
            <wp:extent cx="5731510" cy="37439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_3_Fig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4231D5CA" w14:textId="1A29B49A" w:rsidR="009C5C95" w:rsidRPr="00AF4302" w:rsidRDefault="00F642A9" w:rsidP="00F642A9">
      <w:pPr>
        <w:pStyle w:val="Caption"/>
      </w:pPr>
      <w:bookmarkStart w:id="17" w:name="_Ref112345818"/>
      <w:r w:rsidRPr="00AF4302">
        <w:t xml:space="preserve">Figure </w:t>
      </w:r>
      <w:r w:rsidR="00E14893">
        <w:fldChar w:fldCharType="begin"/>
      </w:r>
      <w:r w:rsidR="00E14893">
        <w:instrText xml:space="preserve"> SEQ Figure \* ARABIC </w:instrText>
      </w:r>
      <w:r w:rsidR="00E14893">
        <w:fldChar w:fldCharType="separate"/>
      </w:r>
      <w:r w:rsidR="00080770">
        <w:rPr>
          <w:noProof/>
        </w:rPr>
        <w:t>7</w:t>
      </w:r>
      <w:r w:rsidR="00E14893">
        <w:rPr>
          <w:noProof/>
        </w:rPr>
        <w:fldChar w:fldCharType="end"/>
      </w:r>
      <w:bookmarkEnd w:id="17"/>
      <w:r w:rsidRPr="00AF4302">
        <w:t xml:space="preserve">: Chart showing the proportion of the 2013 </w:t>
      </w:r>
      <w:r w:rsidR="00DD4C11">
        <w:t xml:space="preserve">Key Stage 4 </w:t>
      </w:r>
      <w:r w:rsidRPr="00AF4302">
        <w:t>cohort who were participating in degree-level study at age 21</w:t>
      </w:r>
      <w:r w:rsidR="00974792" w:rsidRPr="00AF4302">
        <w:t xml:space="preserve"> by disadvantage</w:t>
      </w:r>
      <w:r w:rsidRPr="00AF4302">
        <w:t>. Degree-level study is defined as being enrolled on a qualification at NQF level 6 in a higher education institution.</w:t>
      </w:r>
    </w:p>
    <w:p w14:paraId="0DB54827" w14:textId="303A2354" w:rsidR="009C5C95" w:rsidRPr="00AF4302" w:rsidRDefault="0021792A" w:rsidP="009C5C95">
      <w:r>
        <w:t>Long-term</w:t>
      </w:r>
      <w:r w:rsidR="001D092A">
        <w:t xml:space="preserve"> disadvantaged pupils were around half as likely to be undertaking degree-level study as those who had never been eligible for FSM (2</w:t>
      </w:r>
      <w:r w:rsidR="009A7B74">
        <w:t>4</w:t>
      </w:r>
      <w:r w:rsidR="001D092A">
        <w:t>% vs 4</w:t>
      </w:r>
      <w:r w:rsidR="009A7B74">
        <w:t>6</w:t>
      </w:r>
      <w:r w:rsidR="001D092A">
        <w:t xml:space="preserve">%). </w:t>
      </w:r>
    </w:p>
    <w:p w14:paraId="02A142A9" w14:textId="4CC775C4" w:rsidR="00F642A9" w:rsidRDefault="00F642A9" w:rsidP="00F642A9"/>
    <w:p w14:paraId="1AFDBC4B" w14:textId="132D45CB" w:rsidR="005A04EC" w:rsidRDefault="005A04EC" w:rsidP="00F642A9"/>
    <w:p w14:paraId="4ADB273B" w14:textId="547CDBE6" w:rsidR="005A04EC" w:rsidRDefault="005A04EC" w:rsidP="00F642A9"/>
    <w:p w14:paraId="550CDBBF" w14:textId="69571C61" w:rsidR="005A04EC" w:rsidRDefault="005A04EC" w:rsidP="00F642A9"/>
    <w:p w14:paraId="4DE8A7F4" w14:textId="71801900" w:rsidR="005A04EC" w:rsidRDefault="005A04EC" w:rsidP="00F642A9"/>
    <w:p w14:paraId="2362C4AF" w14:textId="0F2AD337" w:rsidR="005A04EC" w:rsidRDefault="005A04EC" w:rsidP="00F642A9"/>
    <w:p w14:paraId="78F5B167" w14:textId="77777777" w:rsidR="005A04EC" w:rsidRPr="00AF4302" w:rsidRDefault="005A04EC" w:rsidP="00F642A9"/>
    <w:p w14:paraId="7D471C21" w14:textId="59F1E2AC" w:rsidR="00451E8A" w:rsidRDefault="00346ED9" w:rsidP="004851C1">
      <w:pPr>
        <w:pStyle w:val="Heading3"/>
      </w:pPr>
      <w:bookmarkStart w:id="18" w:name="_Ref116551109"/>
      <w:r>
        <w:lastRenderedPageBreak/>
        <w:t>3</w:t>
      </w:r>
      <w:r w:rsidR="00A3183D">
        <w:t xml:space="preserve">.4. </w:t>
      </w:r>
      <w:r w:rsidR="00513CB3">
        <w:t>Outcomes and attainment</w:t>
      </w:r>
      <w:r w:rsidR="00451E8A" w:rsidRPr="00AF4302">
        <w:t xml:space="preserve"> by ethnicity</w:t>
      </w:r>
      <w:bookmarkEnd w:id="18"/>
    </w:p>
    <w:p w14:paraId="630CCC57" w14:textId="77777777" w:rsidR="00252000" w:rsidRDefault="00252000" w:rsidP="00252000">
      <w:pPr>
        <w:pStyle w:val="Heading4"/>
        <w:rPr>
          <w:rFonts w:ascii="Avenir LT Std 35 Light" w:hAnsi="Avenir LT Std 35 Light"/>
        </w:rPr>
      </w:pPr>
      <w:r w:rsidRPr="00AF4302">
        <w:rPr>
          <w:rFonts w:ascii="Avenir LT Std 35 Light" w:hAnsi="Avenir LT Std 35 Light"/>
        </w:rPr>
        <w:t>The likelihood of being in a sustained positive destination at age 22</w:t>
      </w:r>
    </w:p>
    <w:p w14:paraId="1E45343F" w14:textId="6E9B7C3E" w:rsidR="009E6AB9" w:rsidRPr="00AF4302" w:rsidRDefault="00C160CE" w:rsidP="009E6AB9">
      <w:pPr>
        <w:keepNext/>
      </w:pPr>
      <w:r>
        <w:rPr>
          <w:noProof/>
          <w:lang w:eastAsia="en-GB"/>
        </w:rPr>
        <w:drawing>
          <wp:inline distT="0" distB="0" distL="0" distR="0" wp14:anchorId="5DFA55FA" wp14:editId="77DDD922">
            <wp:extent cx="5731510" cy="37439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_3_Fig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779497A8" w14:textId="11C9D6CC" w:rsidR="0085556C" w:rsidRPr="00AF4302" w:rsidRDefault="009E6AB9" w:rsidP="009E6AB9">
      <w:pPr>
        <w:pStyle w:val="Caption"/>
      </w:pPr>
      <w:bookmarkStart w:id="19" w:name="_Ref112345829"/>
      <w:r w:rsidRPr="00AF4302">
        <w:t xml:space="preserve">Figure </w:t>
      </w:r>
      <w:r w:rsidR="00E14893">
        <w:fldChar w:fldCharType="begin"/>
      </w:r>
      <w:r w:rsidR="00E14893">
        <w:instrText xml:space="preserve"> SEQ Figure \* ARABIC </w:instrText>
      </w:r>
      <w:r w:rsidR="00E14893">
        <w:fldChar w:fldCharType="separate"/>
      </w:r>
      <w:r w:rsidR="00080770">
        <w:rPr>
          <w:noProof/>
        </w:rPr>
        <w:t>8</w:t>
      </w:r>
      <w:r w:rsidR="00E14893">
        <w:rPr>
          <w:noProof/>
        </w:rPr>
        <w:fldChar w:fldCharType="end"/>
      </w:r>
      <w:bookmarkEnd w:id="19"/>
      <w:r w:rsidRPr="00AF4302">
        <w:t xml:space="preserve">: Chart showing the proportion of the 2013 </w:t>
      </w:r>
      <w:r w:rsidR="00DD4C11">
        <w:t xml:space="preserve">Key Stage 4 </w:t>
      </w:r>
      <w:r w:rsidRPr="00AF4302">
        <w:t>cohort who were observed in a positive destination at age 22 by ethnicity</w:t>
      </w:r>
      <w:r w:rsidR="00974792" w:rsidRPr="00AF4302">
        <w:t xml:space="preserve"> and </w:t>
      </w:r>
      <w:r w:rsidRPr="00AF4302">
        <w:t>shown</w:t>
      </w:r>
      <w:r w:rsidR="00974792" w:rsidRPr="00AF4302">
        <w:t xml:space="preserve"> separately</w:t>
      </w:r>
      <w:r w:rsidRPr="00AF4302">
        <w:t xml:space="preserve"> for the group total, those who were eligible for free school meals (FSM) for at least 80% of school terms, those who were eligible for 25% of terms or less, and those who were never eligible. A positive destination is defined as being either in employment or enrolled at an education institution for at least 180 days.</w:t>
      </w:r>
    </w:p>
    <w:p w14:paraId="4193053F" w14:textId="31A85762" w:rsidR="00252000" w:rsidRDefault="000D4A1D" w:rsidP="009E6AB9">
      <w:r>
        <w:fldChar w:fldCharType="begin"/>
      </w:r>
      <w:r>
        <w:instrText xml:space="preserve"> REF _Ref112345829 \h </w:instrText>
      </w:r>
      <w:r>
        <w:fldChar w:fldCharType="separate"/>
      </w:r>
      <w:r w:rsidR="00882925" w:rsidRPr="00AF4302">
        <w:t xml:space="preserve">Figure </w:t>
      </w:r>
      <w:r w:rsidR="00882925">
        <w:rPr>
          <w:noProof/>
        </w:rPr>
        <w:t>8</w:t>
      </w:r>
      <w:r>
        <w:fldChar w:fldCharType="end"/>
      </w:r>
      <w:r w:rsidR="00252000">
        <w:t xml:space="preserve"> shows the proportion of individuals</w:t>
      </w:r>
      <w:r w:rsidR="005A04EC">
        <w:t xml:space="preserve"> in the 2013 cohort</w:t>
      </w:r>
      <w:r w:rsidR="00252000">
        <w:t xml:space="preserve"> observed in a sustained positive destination at age 22 by ethnicity and disadvantage. We see that overall, those from an Indian or Chinese background were the most likely to be observed in a positive destination, while those from White Romany or Irish Traveller backgrounds were the least likely. </w:t>
      </w:r>
    </w:p>
    <w:p w14:paraId="0ABFA353" w14:textId="6B648404" w:rsidR="00A91255" w:rsidRDefault="0021792A" w:rsidP="009E6AB9">
      <w:r>
        <w:t xml:space="preserve">The relationship between disadvantage and outcomes varies by ethnicity. </w:t>
      </w:r>
      <w:r w:rsidR="00252000">
        <w:t>We see virtually no impact of disadvantage</w:t>
      </w:r>
      <w:r w:rsidR="00A91255">
        <w:t xml:space="preserve"> on the likelihood of going on to a positive destination </w:t>
      </w:r>
      <w:r w:rsidR="00252000">
        <w:t xml:space="preserve">for those from Chinese backgrounds, and only a small impact for those from </w:t>
      </w:r>
      <w:r w:rsidR="00513CB3">
        <w:t>Indian</w:t>
      </w:r>
      <w:r w:rsidR="00252000">
        <w:t>,</w:t>
      </w:r>
      <w:r w:rsidR="00513CB3">
        <w:t xml:space="preserve"> Other Asian, Bangladeshi,</w:t>
      </w:r>
      <w:r w:rsidR="00252000">
        <w:t xml:space="preserve"> Black African and Pakistani backgrounds.</w:t>
      </w:r>
      <w:r w:rsidR="00A91255">
        <w:t xml:space="preserve"> There also appears to be little impact for those from a White Romany background – very few were observed in a positive destination regardless of FSM eligibility.</w:t>
      </w:r>
      <w:r w:rsidR="00252000">
        <w:t xml:space="preserve"> </w:t>
      </w:r>
    </w:p>
    <w:p w14:paraId="5B8D28A9" w14:textId="0A298DA9" w:rsidR="00A91255" w:rsidRDefault="00252000" w:rsidP="009E6AB9">
      <w:r>
        <w:t>In contrast, th</w:t>
      </w:r>
      <w:r w:rsidR="00E31FD6">
        <w:t>ere is a big impact for those</w:t>
      </w:r>
      <w:r>
        <w:t xml:space="preserve"> from White Irish, White British</w:t>
      </w:r>
      <w:r w:rsidR="00E31FD6">
        <w:t xml:space="preserve"> and Irish Traveller</w:t>
      </w:r>
      <w:r w:rsidR="00A91255">
        <w:t xml:space="preserve"> backgrounds and, to a lesser extent, those from Mixed White/Asian and Mixed White/Black Caribbean backgrounds.</w:t>
      </w:r>
    </w:p>
    <w:p w14:paraId="772C37C6" w14:textId="71ADB44A" w:rsidR="00A47957" w:rsidRPr="00AF4302" w:rsidRDefault="00A47957" w:rsidP="009E6AB9"/>
    <w:p w14:paraId="1B945AE6" w14:textId="5B671853" w:rsidR="009E6AB9" w:rsidRPr="00AF4302" w:rsidRDefault="00E31FD6" w:rsidP="004851C1">
      <w:pPr>
        <w:pStyle w:val="Heading4"/>
        <w:rPr>
          <w:rFonts w:ascii="Avenir LT Std 35 Light" w:hAnsi="Avenir LT Std 35 Light"/>
        </w:rPr>
      </w:pPr>
      <w:r>
        <w:rPr>
          <w:rFonts w:ascii="Avenir LT Std 35 Light" w:hAnsi="Avenir LT Std 35 Light"/>
        </w:rPr>
        <w:lastRenderedPageBreak/>
        <w:t>The likelihood of a</w:t>
      </w:r>
      <w:r w:rsidR="009E6AB9" w:rsidRPr="00AF4302">
        <w:rPr>
          <w:rFonts w:ascii="Avenir LT Std 35 Light" w:hAnsi="Avenir LT Std 35 Light"/>
        </w:rPr>
        <w:t>chiev</w:t>
      </w:r>
      <w:r>
        <w:rPr>
          <w:rFonts w:ascii="Avenir LT Std 35 Light" w:hAnsi="Avenir LT Std 35 Light"/>
        </w:rPr>
        <w:t>ing</w:t>
      </w:r>
      <w:r w:rsidR="009E6AB9" w:rsidRPr="00AF4302">
        <w:rPr>
          <w:rFonts w:ascii="Avenir LT Std 35 Light" w:hAnsi="Avenir LT Std 35 Light"/>
        </w:rPr>
        <w:t xml:space="preserve"> qualifications at Level 3 or above by 22</w:t>
      </w:r>
    </w:p>
    <w:p w14:paraId="2BE72875" w14:textId="0706BF89" w:rsidR="009E6AB9" w:rsidRPr="00AF4302" w:rsidRDefault="00C160CE" w:rsidP="009E6AB9">
      <w:pPr>
        <w:keepNext/>
      </w:pPr>
      <w:r>
        <w:rPr>
          <w:noProof/>
          <w:lang w:eastAsia="en-GB"/>
        </w:rPr>
        <w:drawing>
          <wp:inline distT="0" distB="0" distL="0" distR="0" wp14:anchorId="28EE9DA6" wp14:editId="27281E2E">
            <wp:extent cx="5731510" cy="37439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_4_Fig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1A8AFF78" w14:textId="44A3E946" w:rsidR="0085556C" w:rsidRDefault="009E6AB9" w:rsidP="009E6AB9">
      <w:pPr>
        <w:pStyle w:val="Caption"/>
      </w:pPr>
      <w:bookmarkStart w:id="20" w:name="_Ref112345838"/>
      <w:r w:rsidRPr="00AF4302">
        <w:t xml:space="preserve">Figure </w:t>
      </w:r>
      <w:r w:rsidR="00E14893">
        <w:fldChar w:fldCharType="begin"/>
      </w:r>
      <w:r w:rsidR="00E14893">
        <w:instrText xml:space="preserve"> SEQ Figure \* ARABIC </w:instrText>
      </w:r>
      <w:r w:rsidR="00E14893">
        <w:fldChar w:fldCharType="separate"/>
      </w:r>
      <w:r w:rsidR="00080770">
        <w:rPr>
          <w:noProof/>
        </w:rPr>
        <w:t>9</w:t>
      </w:r>
      <w:r w:rsidR="00E14893">
        <w:rPr>
          <w:noProof/>
        </w:rPr>
        <w:fldChar w:fldCharType="end"/>
      </w:r>
      <w:bookmarkEnd w:id="20"/>
      <w:r w:rsidRPr="00AF4302">
        <w:t xml:space="preserve">: A chart showing the proportion of the 2013 </w:t>
      </w:r>
      <w:r w:rsidR="00DD4C11">
        <w:t xml:space="preserve">Key Stage 4 </w:t>
      </w:r>
      <w:r w:rsidRPr="00AF4302">
        <w:t>cohort who achieved qualifications at NQF level 3 or above by</w:t>
      </w:r>
      <w:r w:rsidR="00112A8E" w:rsidRPr="00AF4302">
        <w:t xml:space="preserve"> age 22</w:t>
      </w:r>
      <w:r w:rsidRPr="00AF4302">
        <w:t xml:space="preserve">. </w:t>
      </w:r>
      <w:r w:rsidR="00112A8E" w:rsidRPr="00AF4302">
        <w:t>Results are split by ethnicity and</w:t>
      </w:r>
      <w:r w:rsidRPr="00AF4302">
        <w:t xml:space="preserve"> shown </w:t>
      </w:r>
      <w:r w:rsidR="00112A8E" w:rsidRPr="00AF4302">
        <w:t xml:space="preserve">separately for the group total, those who were eligible for free school meals (FSM) for at least 80% of school terms, those who were eligible for 25% of terms or less, and those who were never eligible. NQF level 3 is the equivalent of </w:t>
      </w:r>
      <w:r w:rsidR="00A136A6">
        <w:t>two</w:t>
      </w:r>
      <w:r w:rsidR="00112A8E" w:rsidRPr="00AF4302">
        <w:t xml:space="preserve"> A-levels.</w:t>
      </w:r>
      <w:r w:rsidR="00A91255">
        <w:t xml:space="preserve"> Values which relate to small numbers of individuals are suppressed.</w:t>
      </w:r>
    </w:p>
    <w:p w14:paraId="4D9B3543" w14:textId="0195CA74" w:rsidR="00A91255" w:rsidRDefault="00A91255" w:rsidP="00A91255">
      <w:r>
        <w:t xml:space="preserve">In </w:t>
      </w:r>
      <w:r w:rsidR="000D4A1D">
        <w:fldChar w:fldCharType="begin"/>
      </w:r>
      <w:r w:rsidR="000D4A1D">
        <w:instrText xml:space="preserve"> REF _Ref112345838 \h </w:instrText>
      </w:r>
      <w:r w:rsidR="000D4A1D">
        <w:fldChar w:fldCharType="separate"/>
      </w:r>
      <w:r w:rsidR="00882925" w:rsidRPr="00AF4302">
        <w:t xml:space="preserve">Figure </w:t>
      </w:r>
      <w:r w:rsidR="00882925">
        <w:rPr>
          <w:noProof/>
        </w:rPr>
        <w:t>9</w:t>
      </w:r>
      <w:r w:rsidR="000D4A1D">
        <w:fldChar w:fldCharType="end"/>
      </w:r>
      <w:r>
        <w:t xml:space="preserve">, we see a similar pattern for level 3 qualification rates. There was little difference between the most and least disadvantaged individuals from Chinese, Indian, Black African, Pakistani and White Romany backgrounds, while there were big differences for those from Mixed White/Asian, White Irish, White British and Mixed White/Black Caribbean backgrounds. </w:t>
      </w:r>
    </w:p>
    <w:p w14:paraId="347FE199" w14:textId="658668E5" w:rsidR="00CA5109" w:rsidRDefault="00CA5109" w:rsidP="00A91255">
      <w:r>
        <w:t>There were bigger differences in qualification rates than likelihood of going on to a positive destination for those from Mixed White/Black African and Black Caribbean backgrounds.</w:t>
      </w:r>
    </w:p>
    <w:p w14:paraId="7072FB92" w14:textId="0B63810C" w:rsidR="00CA5109" w:rsidRPr="00A91255" w:rsidRDefault="000D4A1D" w:rsidP="00A91255">
      <w:r>
        <w:fldChar w:fldCharType="begin"/>
      </w:r>
      <w:r>
        <w:instrText xml:space="preserve"> REF _Ref112345847 \h </w:instrText>
      </w:r>
      <w:r>
        <w:fldChar w:fldCharType="separate"/>
      </w:r>
      <w:r w:rsidR="00882925" w:rsidRPr="00AF4302">
        <w:t xml:space="preserve">Figure </w:t>
      </w:r>
      <w:r w:rsidR="00882925">
        <w:rPr>
          <w:noProof/>
        </w:rPr>
        <w:t>10</w:t>
      </w:r>
      <w:r>
        <w:fldChar w:fldCharType="end"/>
      </w:r>
      <w:r w:rsidR="00CA5109">
        <w:t xml:space="preserve"> shows an almost identical pattern for the likelihood of participating in degree-level study at age 21.</w:t>
      </w:r>
    </w:p>
    <w:p w14:paraId="65E2485F" w14:textId="34FF470B" w:rsidR="00112A8E" w:rsidRPr="00AF4302" w:rsidRDefault="00112A8E" w:rsidP="00112A8E"/>
    <w:p w14:paraId="4055455E" w14:textId="074DA410" w:rsidR="00112A8E" w:rsidRPr="00AF4302" w:rsidRDefault="00112A8E" w:rsidP="004851C1">
      <w:pPr>
        <w:pStyle w:val="Heading4"/>
        <w:rPr>
          <w:rFonts w:ascii="Avenir LT Std 35 Light" w:hAnsi="Avenir LT Std 35 Light"/>
        </w:rPr>
      </w:pPr>
      <w:r w:rsidRPr="00AF4302">
        <w:rPr>
          <w:rFonts w:ascii="Avenir LT Std 35 Light" w:hAnsi="Avenir LT Std 35 Light"/>
        </w:rPr>
        <w:lastRenderedPageBreak/>
        <w:t>Participating in degree-level study at age 21</w:t>
      </w:r>
    </w:p>
    <w:p w14:paraId="6509B540" w14:textId="365B3231" w:rsidR="00112A8E" w:rsidRPr="00AF4302" w:rsidRDefault="00C160CE" w:rsidP="00112A8E">
      <w:pPr>
        <w:keepNext/>
      </w:pPr>
      <w:r>
        <w:rPr>
          <w:noProof/>
          <w:lang w:eastAsia="en-GB"/>
        </w:rPr>
        <w:drawing>
          <wp:inline distT="0" distB="0" distL="0" distR="0" wp14:anchorId="63A143A9" wp14:editId="4061E583">
            <wp:extent cx="5731510" cy="374396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_4_Fig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489BC018" w14:textId="7A2C9352" w:rsidR="00112A8E" w:rsidRPr="00AF4302" w:rsidRDefault="00112A8E" w:rsidP="00112A8E">
      <w:pPr>
        <w:pStyle w:val="Caption"/>
      </w:pPr>
      <w:bookmarkStart w:id="21" w:name="_Ref112345847"/>
      <w:r w:rsidRPr="00AF4302">
        <w:t xml:space="preserve">Figure </w:t>
      </w:r>
      <w:r w:rsidR="00E14893">
        <w:fldChar w:fldCharType="begin"/>
      </w:r>
      <w:r w:rsidR="00E14893">
        <w:instrText xml:space="preserve"> SEQ Figure \* ARABIC </w:instrText>
      </w:r>
      <w:r w:rsidR="00E14893">
        <w:fldChar w:fldCharType="separate"/>
      </w:r>
      <w:r w:rsidR="00080770">
        <w:rPr>
          <w:noProof/>
        </w:rPr>
        <w:t>10</w:t>
      </w:r>
      <w:r w:rsidR="00E14893">
        <w:rPr>
          <w:noProof/>
        </w:rPr>
        <w:fldChar w:fldCharType="end"/>
      </w:r>
      <w:bookmarkEnd w:id="21"/>
      <w:r w:rsidRPr="00AF4302">
        <w:t xml:space="preserve">: Chart showing the proportion of the 2013 </w:t>
      </w:r>
      <w:r w:rsidR="00DD4C11">
        <w:t xml:space="preserve">Key Stage 4 </w:t>
      </w:r>
      <w:r w:rsidRPr="00AF4302">
        <w:t>cohort who were participating in degree-level study at age 21. Results are split by ethnicity and shown separately for the group total, those who were eligible for free school meals (FSM) for at least 80% of school terms, those who were eligible for 25% of terms or less, and those who were never eligible. Degree-level study is defined as being enrolled on a qualification at NQF level 6 in a higher education institution.</w:t>
      </w:r>
    </w:p>
    <w:p w14:paraId="617766BF" w14:textId="237E7075" w:rsidR="003F15E1" w:rsidRDefault="00346ED9" w:rsidP="00513CB3">
      <w:pPr>
        <w:pStyle w:val="Heading3"/>
      </w:pPr>
      <w:r>
        <w:t>3</w:t>
      </w:r>
      <w:r w:rsidR="00513CB3">
        <w:t>.5. Outcomes and attainment by region</w:t>
      </w:r>
    </w:p>
    <w:p w14:paraId="49A9818F" w14:textId="77777777" w:rsidR="00290868" w:rsidRDefault="00290868" w:rsidP="00290868">
      <w:pPr>
        <w:pStyle w:val="Heading4"/>
        <w:rPr>
          <w:rFonts w:ascii="Avenir LT Std 35 Light" w:hAnsi="Avenir LT Std 35 Light"/>
        </w:rPr>
      </w:pPr>
      <w:r w:rsidRPr="00AF4302">
        <w:rPr>
          <w:rFonts w:ascii="Avenir LT Std 35 Light" w:hAnsi="Avenir LT Std 35 Light"/>
        </w:rPr>
        <w:t>The likelihood of being in a sustained positive destination at age 22</w:t>
      </w:r>
    </w:p>
    <w:p w14:paraId="530952B6" w14:textId="55B6604B" w:rsidR="00290868" w:rsidRDefault="00290868" w:rsidP="00513CB3">
      <w:r>
        <w:t>To finish, we investigate how outcomes vary by region and disadvantage. The proportions of individuals observed in a sustained positive destination at age 22 are shown in</w:t>
      </w:r>
      <w:r w:rsidR="001635A4">
        <w:t xml:space="preserve"> </w:t>
      </w:r>
      <w:r w:rsidR="001635A4">
        <w:fldChar w:fldCharType="begin"/>
      </w:r>
      <w:r w:rsidR="001635A4">
        <w:instrText xml:space="preserve"> REF _Ref115259472 \h </w:instrText>
      </w:r>
      <w:r w:rsidR="001635A4">
        <w:fldChar w:fldCharType="separate"/>
      </w:r>
      <w:r w:rsidR="00882925">
        <w:t xml:space="preserve">Figure </w:t>
      </w:r>
      <w:r w:rsidR="00882925">
        <w:rPr>
          <w:noProof/>
        </w:rPr>
        <w:t>11</w:t>
      </w:r>
      <w:r w:rsidR="001635A4">
        <w:fldChar w:fldCharType="end"/>
      </w:r>
      <w:r>
        <w:t>.</w:t>
      </w:r>
    </w:p>
    <w:p w14:paraId="79E895E3" w14:textId="269EB8B8" w:rsidR="00290868" w:rsidRDefault="00CA0D62" w:rsidP="00513CB3">
      <w:r>
        <w:t>Overall</w:t>
      </w:r>
      <w:r w:rsidR="00290868">
        <w:t xml:space="preserve"> there is less variation </w:t>
      </w:r>
      <w:r w:rsidR="0021792A">
        <w:t xml:space="preserve">in the likelihood of being observed in a positive destination </w:t>
      </w:r>
      <w:r w:rsidR="00290868">
        <w:t xml:space="preserve">between individuals from different regions than </w:t>
      </w:r>
      <w:r>
        <w:t>between</w:t>
      </w:r>
      <w:r w:rsidR="00290868">
        <w:t xml:space="preserve"> those from</w:t>
      </w:r>
      <w:r w:rsidR="00975EE2">
        <w:t xml:space="preserve"> different ethnic backgrounds. In t</w:t>
      </w:r>
      <w:r w:rsidR="00290868">
        <w:t>he region</w:t>
      </w:r>
      <w:r w:rsidR="0021792A">
        <w:t xml:space="preserve"> with the lowest likelihood</w:t>
      </w:r>
      <w:r w:rsidR="00290868">
        <w:t xml:space="preserve">, the North East, 77% of individuals </w:t>
      </w:r>
      <w:r w:rsidR="00975EE2">
        <w:t xml:space="preserve">were </w:t>
      </w:r>
      <w:r w:rsidR="00290868">
        <w:t xml:space="preserve">in </w:t>
      </w:r>
      <w:r w:rsidR="0021792A">
        <w:t>a positive destination</w:t>
      </w:r>
      <w:r w:rsidR="00290868">
        <w:t xml:space="preserve">, and </w:t>
      </w:r>
      <w:r w:rsidR="00975EE2">
        <w:t xml:space="preserve">in </w:t>
      </w:r>
      <w:r w:rsidR="00290868">
        <w:t>the</w:t>
      </w:r>
      <w:r w:rsidR="0021792A">
        <w:t xml:space="preserve"> region with the</w:t>
      </w:r>
      <w:r w:rsidR="00290868">
        <w:t xml:space="preserve"> highest, the South West, </w:t>
      </w:r>
      <w:r w:rsidR="00975EE2">
        <w:t xml:space="preserve">this figure stood at </w:t>
      </w:r>
      <w:r w:rsidR="00290868">
        <w:t xml:space="preserve">81% - a range of 4pp. The range between the </w:t>
      </w:r>
      <w:r w:rsidR="0021792A">
        <w:t xml:space="preserve">ethnicities with the </w:t>
      </w:r>
      <w:r w:rsidR="00290868">
        <w:t>highest and lowest</w:t>
      </w:r>
      <w:r w:rsidR="0021792A">
        <w:t xml:space="preserve"> likelihoods</w:t>
      </w:r>
      <w:r w:rsidR="00290868">
        <w:t xml:space="preserve"> was 64pp (or 13pp, excluding Travellers of Irish heritage and those from a Romany background – both negative outliers).</w:t>
      </w:r>
    </w:p>
    <w:p w14:paraId="3AAAACC1" w14:textId="4D3CC93C" w:rsidR="00CA0D62" w:rsidRDefault="00CA0D62" w:rsidP="00513CB3">
      <w:r>
        <w:t>Within regions, there is considerable variation by disadvantage</w:t>
      </w:r>
      <w:r w:rsidR="006644C7">
        <w:t>, mirroring the national picture</w:t>
      </w:r>
      <w:r>
        <w:t xml:space="preserve">. In almost </w:t>
      </w:r>
      <w:r w:rsidR="001635A4">
        <w:t>every region</w:t>
      </w:r>
      <w:r>
        <w:t xml:space="preserve">, </w:t>
      </w:r>
      <w:r w:rsidR="006644C7">
        <w:t>those who were long-term disadvantaged were around 30% less likely</w:t>
      </w:r>
      <w:r>
        <w:t xml:space="preserve"> to be observed in a </w:t>
      </w:r>
      <w:r w:rsidR="001635A4">
        <w:t xml:space="preserve">sustained </w:t>
      </w:r>
      <w:r>
        <w:t>positive destination than those who had</w:t>
      </w:r>
      <w:r w:rsidR="006644C7">
        <w:t xml:space="preserve"> never</w:t>
      </w:r>
      <w:r>
        <w:t xml:space="preserve"> been eligible for </w:t>
      </w:r>
      <w:r w:rsidR="006644C7">
        <w:t>FSM</w:t>
      </w:r>
      <w:r>
        <w:t xml:space="preserve">. </w:t>
      </w:r>
      <w:r w:rsidR="006644C7">
        <w:t xml:space="preserve">The exception is </w:t>
      </w:r>
      <w:r>
        <w:t>London, where th</w:t>
      </w:r>
      <w:r w:rsidR="006644C7">
        <w:t>ey were 16% less likely</w:t>
      </w:r>
      <w:r w:rsidR="001635A4">
        <w:t>.</w:t>
      </w:r>
      <w:r>
        <w:t xml:space="preserve"> </w:t>
      </w:r>
    </w:p>
    <w:p w14:paraId="532397F6" w14:textId="237D4613" w:rsidR="00290868" w:rsidRDefault="006644C7" w:rsidP="00513CB3">
      <w:r>
        <w:t>Those who were long-term</w:t>
      </w:r>
      <w:r w:rsidR="00CA0D62">
        <w:t xml:space="preserve"> disadvantaged </w:t>
      </w:r>
      <w:r>
        <w:t xml:space="preserve">were most likely to go on to a sustained positive destination of they lived in </w:t>
      </w:r>
      <w:r w:rsidR="001635A4">
        <w:t>London</w:t>
      </w:r>
      <w:r w:rsidR="00CA0D62">
        <w:t xml:space="preserve"> </w:t>
      </w:r>
      <w:r w:rsidR="001635A4">
        <w:t>(</w:t>
      </w:r>
      <w:r w:rsidR="009A7B74">
        <w:t>69</w:t>
      </w:r>
      <w:r w:rsidR="00CA0D62">
        <w:t>%</w:t>
      </w:r>
      <w:r w:rsidR="001635A4">
        <w:t>)</w:t>
      </w:r>
      <w:r w:rsidR="00CA0D62">
        <w:t xml:space="preserve"> </w:t>
      </w:r>
      <w:r w:rsidR="001635A4">
        <w:t xml:space="preserve">and </w:t>
      </w:r>
      <w:r>
        <w:t>least likely if they lived</w:t>
      </w:r>
      <w:r w:rsidR="001635A4">
        <w:t xml:space="preserve"> in the</w:t>
      </w:r>
      <w:r w:rsidR="00CA0D62">
        <w:t xml:space="preserve"> North East</w:t>
      </w:r>
      <w:r w:rsidR="001635A4">
        <w:t xml:space="preserve"> </w:t>
      </w:r>
      <w:r w:rsidR="00CA0D62">
        <w:t>(54%).</w:t>
      </w:r>
      <w:r w:rsidR="00290868">
        <w:t xml:space="preserve"> </w:t>
      </w:r>
    </w:p>
    <w:p w14:paraId="777AF3A0" w14:textId="0222905C" w:rsidR="001635A4" w:rsidRDefault="00C160CE" w:rsidP="001635A4">
      <w:pPr>
        <w:keepNext/>
      </w:pPr>
      <w:r>
        <w:rPr>
          <w:noProof/>
          <w:lang w:eastAsia="en-GB"/>
        </w:rPr>
        <w:lastRenderedPageBreak/>
        <w:drawing>
          <wp:inline distT="0" distB="0" distL="0" distR="0" wp14:anchorId="0308D78B" wp14:editId="29782CA7">
            <wp:extent cx="5731510" cy="3743960"/>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_5_Fig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064343C9" w14:textId="52BC0226" w:rsidR="001635A4" w:rsidRDefault="001635A4" w:rsidP="001635A4">
      <w:pPr>
        <w:pStyle w:val="Caption"/>
      </w:pPr>
      <w:bookmarkStart w:id="22" w:name="_Ref115259472"/>
      <w:r>
        <w:t xml:space="preserve">Figure </w:t>
      </w:r>
      <w:r w:rsidR="00E14893">
        <w:fldChar w:fldCharType="begin"/>
      </w:r>
      <w:r w:rsidR="00E14893">
        <w:instrText xml:space="preserve"> SEQ Figure \* ARABIC </w:instrText>
      </w:r>
      <w:r w:rsidR="00E14893">
        <w:fldChar w:fldCharType="separate"/>
      </w:r>
      <w:r w:rsidR="00080770">
        <w:rPr>
          <w:noProof/>
        </w:rPr>
        <w:t>11</w:t>
      </w:r>
      <w:r w:rsidR="00E14893">
        <w:rPr>
          <w:noProof/>
        </w:rPr>
        <w:fldChar w:fldCharType="end"/>
      </w:r>
      <w:bookmarkEnd w:id="22"/>
      <w:r>
        <w:t xml:space="preserve">: </w:t>
      </w:r>
      <w:r w:rsidRPr="00AF4302">
        <w:t xml:space="preserve">Chart showing the proportion of the 2013 </w:t>
      </w:r>
      <w:r>
        <w:t xml:space="preserve">Key Stage 4 </w:t>
      </w:r>
      <w:r w:rsidRPr="00AF4302">
        <w:t xml:space="preserve">cohort who were observed in a positive destination at age 22 by </w:t>
      </w:r>
      <w:r>
        <w:t>region</w:t>
      </w:r>
      <w:r w:rsidRPr="00AF4302">
        <w:t xml:space="preserve"> and shown separately for the group total, those who were eligible for free school meals (FSM) for at least 80% of school terms, those who were eligible for 25% of terms or less, and those who were never eligible. A positive destination is defined as being either in employment or enrolled at an education institution for at least 180 days.</w:t>
      </w:r>
      <w:r>
        <w:t xml:space="preserve"> </w:t>
      </w:r>
      <w:r w:rsidR="00E43027">
        <w:t>Region is based on school attended at age 16.</w:t>
      </w:r>
    </w:p>
    <w:p w14:paraId="5B6BE967" w14:textId="77777777" w:rsidR="00412987" w:rsidRPr="00AF4302" w:rsidRDefault="00412987" w:rsidP="00412987">
      <w:pPr>
        <w:pStyle w:val="Heading4"/>
        <w:rPr>
          <w:rFonts w:ascii="Avenir LT Std 35 Light" w:hAnsi="Avenir LT Std 35 Light"/>
        </w:rPr>
      </w:pPr>
      <w:r>
        <w:rPr>
          <w:rFonts w:ascii="Avenir LT Std 35 Light" w:hAnsi="Avenir LT Std 35 Light"/>
        </w:rPr>
        <w:t>The likelihood of a</w:t>
      </w:r>
      <w:r w:rsidRPr="00AF4302">
        <w:rPr>
          <w:rFonts w:ascii="Avenir LT Std 35 Light" w:hAnsi="Avenir LT Std 35 Light"/>
        </w:rPr>
        <w:t>chiev</w:t>
      </w:r>
      <w:r>
        <w:rPr>
          <w:rFonts w:ascii="Avenir LT Std 35 Light" w:hAnsi="Avenir LT Std 35 Light"/>
        </w:rPr>
        <w:t>ing</w:t>
      </w:r>
      <w:r w:rsidRPr="00AF4302">
        <w:rPr>
          <w:rFonts w:ascii="Avenir LT Std 35 Light" w:hAnsi="Avenir LT Std 35 Light"/>
        </w:rPr>
        <w:t xml:space="preserve"> qualifications at Level 3 or above by 22</w:t>
      </w:r>
    </w:p>
    <w:p w14:paraId="3B237C7F" w14:textId="3C5C364A" w:rsidR="00412987" w:rsidRDefault="00BC471D" w:rsidP="00412987">
      <w:r>
        <w:fldChar w:fldCharType="begin"/>
      </w:r>
      <w:r>
        <w:instrText xml:space="preserve"> REF _Ref115262368 \h </w:instrText>
      </w:r>
      <w:r>
        <w:fldChar w:fldCharType="separate"/>
      </w:r>
      <w:r w:rsidR="00882925">
        <w:t xml:space="preserve">Figure </w:t>
      </w:r>
      <w:r w:rsidR="00882925">
        <w:rPr>
          <w:noProof/>
        </w:rPr>
        <w:t>12</w:t>
      </w:r>
      <w:r>
        <w:fldChar w:fldCharType="end"/>
      </w:r>
      <w:r>
        <w:t xml:space="preserve"> </w:t>
      </w:r>
      <w:r w:rsidR="00412987">
        <w:t>shows the proportion of individuals who achieve qualifications at NQF Level 3 (the equivalent of at least 2 A-Levels) by the age of 22 by region and disadvantage.</w:t>
      </w:r>
    </w:p>
    <w:p w14:paraId="0C71DDF9" w14:textId="1DD1B39F" w:rsidR="00412987" w:rsidRDefault="00412987" w:rsidP="00412987">
      <w:r>
        <w:t xml:space="preserve">Again, there isn’t too much variation between regions, overall, though qualification rates for those in London were slightly higher than </w:t>
      </w:r>
      <w:r w:rsidR="00975EE2">
        <w:t>in the rest of the country (67</w:t>
      </w:r>
      <w:r>
        <w:t xml:space="preserve">% in London vs around 60% elsewhere). </w:t>
      </w:r>
    </w:p>
    <w:p w14:paraId="427F02FB" w14:textId="1F84F185" w:rsidR="00412987" w:rsidRDefault="00346ED9" w:rsidP="00412987">
      <w:r>
        <w:t>D</w:t>
      </w:r>
      <w:r w:rsidR="00412987">
        <w:t xml:space="preserve">ifferences </w:t>
      </w:r>
      <w:r w:rsidR="006F206A">
        <w:t>within regions</w:t>
      </w:r>
      <w:r>
        <w:t xml:space="preserve"> broadly mirror the national picture,</w:t>
      </w:r>
      <w:r w:rsidR="006F206A">
        <w:t xml:space="preserve"> </w:t>
      </w:r>
      <w:r>
        <w:t>with</w:t>
      </w:r>
      <w:r w:rsidR="006F206A">
        <w:t xml:space="preserve"> </w:t>
      </w:r>
      <w:r w:rsidR="006644C7">
        <w:t xml:space="preserve">those who were long-term disadvantaged </w:t>
      </w:r>
      <w:r>
        <w:t>being between 50 and 65%</w:t>
      </w:r>
      <w:r w:rsidR="006644C7">
        <w:t xml:space="preserve"> less likely to</w:t>
      </w:r>
      <w:r w:rsidR="006F206A">
        <w:t xml:space="preserve"> achieve Level 3 qualifications than th</w:t>
      </w:r>
      <w:r w:rsidR="006644C7">
        <w:t>ose who had never been eligible for FSM</w:t>
      </w:r>
      <w:r w:rsidR="006F206A">
        <w:t>.</w:t>
      </w:r>
      <w:r>
        <w:t xml:space="preserve"> In London, they were around 30% less likely.</w:t>
      </w:r>
      <w:r w:rsidR="006F206A">
        <w:t xml:space="preserve"> </w:t>
      </w:r>
    </w:p>
    <w:p w14:paraId="5269D7F0" w14:textId="6BBDF014" w:rsidR="006F206A" w:rsidRDefault="006644C7" w:rsidP="00412987">
      <w:r>
        <w:t>Qualification rates</w:t>
      </w:r>
      <w:r w:rsidR="00F4378F">
        <w:t xml:space="preserve"> for th</w:t>
      </w:r>
      <w:r>
        <w:t>ose who were long-term disadvantaged</w:t>
      </w:r>
      <w:r w:rsidR="00F4378F">
        <w:t xml:space="preserve"> were substantially better in London than elsewhere – </w:t>
      </w:r>
      <w:r w:rsidR="009A7B74">
        <w:t>54</w:t>
      </w:r>
      <w:r w:rsidR="00F4378F">
        <w:t xml:space="preserve">% achieved Level 3 qualifications compared with 36% in the West Midlands, the second best region on this measure. </w:t>
      </w:r>
      <w:r>
        <w:t>R</w:t>
      </w:r>
      <w:r w:rsidR="00F4378F">
        <w:t xml:space="preserve">ates were </w:t>
      </w:r>
      <w:r w:rsidR="00777FAF">
        <w:t>lowest</w:t>
      </w:r>
      <w:r w:rsidR="009A7B74">
        <w:t xml:space="preserve"> in the South West (24</w:t>
      </w:r>
      <w:r w:rsidR="00F4378F">
        <w:t>%), South East (25%) and East Midlands (2</w:t>
      </w:r>
      <w:r w:rsidR="009A7B74">
        <w:t>6</w:t>
      </w:r>
      <w:r w:rsidR="00F4378F">
        <w:t xml:space="preserve">%). </w:t>
      </w:r>
    </w:p>
    <w:p w14:paraId="140F5618" w14:textId="77777777" w:rsidR="00412987" w:rsidRPr="00412987" w:rsidRDefault="00412987" w:rsidP="00412987"/>
    <w:p w14:paraId="1E7DA190" w14:textId="6140565C" w:rsidR="00412987" w:rsidRDefault="00C160CE" w:rsidP="00412987">
      <w:pPr>
        <w:keepNext/>
      </w:pPr>
      <w:r>
        <w:rPr>
          <w:noProof/>
          <w:lang w:eastAsia="en-GB"/>
        </w:rPr>
        <w:lastRenderedPageBreak/>
        <w:drawing>
          <wp:inline distT="0" distB="0" distL="0" distR="0" wp14:anchorId="7C3E048C" wp14:editId="2690B3F5">
            <wp:extent cx="5731510" cy="37439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_5_Fig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29781631" w14:textId="2B12E066" w:rsidR="001635A4" w:rsidRDefault="00412987" w:rsidP="00412987">
      <w:pPr>
        <w:pStyle w:val="Caption"/>
      </w:pPr>
      <w:bookmarkStart w:id="23" w:name="_Ref115262368"/>
      <w:r>
        <w:t xml:space="preserve">Figure </w:t>
      </w:r>
      <w:r w:rsidR="00E14893">
        <w:fldChar w:fldCharType="begin"/>
      </w:r>
      <w:r w:rsidR="00E14893">
        <w:instrText xml:space="preserve"> SEQ Figure \* ARABIC </w:instrText>
      </w:r>
      <w:r w:rsidR="00E14893">
        <w:fldChar w:fldCharType="separate"/>
      </w:r>
      <w:r w:rsidR="00080770">
        <w:rPr>
          <w:noProof/>
        </w:rPr>
        <w:t>12</w:t>
      </w:r>
      <w:r w:rsidR="00E14893">
        <w:rPr>
          <w:noProof/>
        </w:rPr>
        <w:fldChar w:fldCharType="end"/>
      </w:r>
      <w:bookmarkEnd w:id="23"/>
      <w:r>
        <w:t xml:space="preserve">: </w:t>
      </w:r>
      <w:r w:rsidRPr="00AF4302">
        <w:t xml:space="preserve">A chart showing the proportion of the 2013 </w:t>
      </w:r>
      <w:r>
        <w:t xml:space="preserve">Key Stage 4 </w:t>
      </w:r>
      <w:r w:rsidRPr="00AF4302">
        <w:t xml:space="preserve">cohort who achieved qualifications at NQF level 3 or above by age 22. Results are split by ethnicity and shown separately for the group total, those who were eligible for free school meals (FSM) for at least 80% of school terms, those who were eligible for 25% of terms or less, and those who were never eligible. NQF level 3 is the equivalent of </w:t>
      </w:r>
      <w:r>
        <w:t>two</w:t>
      </w:r>
      <w:r w:rsidRPr="00AF4302">
        <w:t xml:space="preserve"> A-levels.</w:t>
      </w:r>
      <w:r>
        <w:t xml:space="preserve"> Region is </w:t>
      </w:r>
      <w:r w:rsidR="00E43027">
        <w:t>based on school attended at</w:t>
      </w:r>
      <w:r>
        <w:t xml:space="preserve"> age 16.</w:t>
      </w:r>
    </w:p>
    <w:p w14:paraId="267A8976" w14:textId="77777777" w:rsidR="00F4378F" w:rsidRPr="00AF4302" w:rsidRDefault="00F4378F" w:rsidP="00F4378F">
      <w:pPr>
        <w:pStyle w:val="Heading4"/>
        <w:rPr>
          <w:rFonts w:ascii="Avenir LT Std 35 Light" w:hAnsi="Avenir LT Std 35 Light"/>
        </w:rPr>
      </w:pPr>
      <w:r w:rsidRPr="00AF4302">
        <w:rPr>
          <w:rFonts w:ascii="Avenir LT Std 35 Light" w:hAnsi="Avenir LT Std 35 Light"/>
        </w:rPr>
        <w:t>Participating in degree-level study at age 21</w:t>
      </w:r>
    </w:p>
    <w:p w14:paraId="2EA90D93" w14:textId="3AA4C55E" w:rsidR="00F4378F" w:rsidRDefault="00F4378F" w:rsidP="00F4378F">
      <w:r>
        <w:t>There are similar patterns in rates of degree-level study, though London is even more of an outlier on this measure</w:t>
      </w:r>
      <w:r w:rsidR="00FA27D4">
        <w:t xml:space="preserve">, as shown in </w:t>
      </w:r>
      <w:r w:rsidR="00FA27D4">
        <w:fldChar w:fldCharType="begin"/>
      </w:r>
      <w:r w:rsidR="00FA27D4">
        <w:instrText xml:space="preserve"> REF _Ref115262915 \h </w:instrText>
      </w:r>
      <w:r w:rsidR="00FA27D4">
        <w:fldChar w:fldCharType="separate"/>
      </w:r>
      <w:r w:rsidR="00882925">
        <w:t xml:space="preserve">Figure </w:t>
      </w:r>
      <w:r w:rsidR="00882925">
        <w:rPr>
          <w:noProof/>
        </w:rPr>
        <w:t>13</w:t>
      </w:r>
      <w:r w:rsidR="00FA27D4">
        <w:fldChar w:fldCharType="end"/>
      </w:r>
      <w:r>
        <w:t>.</w:t>
      </w:r>
    </w:p>
    <w:p w14:paraId="4AB05099" w14:textId="5908A88A" w:rsidR="00F4378F" w:rsidRDefault="005813A0" w:rsidP="00F4378F">
      <w:r>
        <w:t xml:space="preserve">In London, </w:t>
      </w:r>
      <w:r w:rsidR="009A7B74">
        <w:t>44</w:t>
      </w:r>
      <w:r>
        <w:t>% of t</w:t>
      </w:r>
      <w:r w:rsidR="006644C7">
        <w:t>hose who were long-term disadvantaged</w:t>
      </w:r>
      <w:r>
        <w:t xml:space="preserve"> </w:t>
      </w:r>
      <w:r w:rsidR="00FA27D4">
        <w:t xml:space="preserve">were observed undertaking degree-level study at age 21 – a similar </w:t>
      </w:r>
      <w:r w:rsidR="006644C7">
        <w:t>proportion of those</w:t>
      </w:r>
      <w:r w:rsidR="00FA27D4">
        <w:t xml:space="preserve"> who had never been eligible for FSM in the rest of the country (which ranges from 41% in the South West to 47% in the North West).</w:t>
      </w:r>
    </w:p>
    <w:p w14:paraId="0CC8E7FD" w14:textId="562B714B" w:rsidR="00FA27D4" w:rsidRDefault="00FA27D4" w:rsidP="00F4378F">
      <w:r>
        <w:t xml:space="preserve">In general, apart from in London, </w:t>
      </w:r>
      <w:r w:rsidR="00BC471D">
        <w:t xml:space="preserve">those who </w:t>
      </w:r>
      <w:r w:rsidR="00777FAF">
        <w:t>were long-term disadvantaged</w:t>
      </w:r>
      <w:r>
        <w:t xml:space="preserve"> were</w:t>
      </w:r>
      <w:r w:rsidR="00777FAF">
        <w:t xml:space="preserve"> between 60 and 70% less likely</w:t>
      </w:r>
      <w:r>
        <w:t xml:space="preserve"> to be participating in degree-level study than th</w:t>
      </w:r>
      <w:r w:rsidR="00777FAF">
        <w:t>ose who had never been eligible for FSM</w:t>
      </w:r>
      <w:r>
        <w:t xml:space="preserve">. In London, they were around </w:t>
      </w:r>
      <w:r w:rsidR="00777FAF">
        <w:t>25% less</w:t>
      </w:r>
      <w:r>
        <w:t xml:space="preserve"> likely. </w:t>
      </w:r>
    </w:p>
    <w:p w14:paraId="5A9FD3F9" w14:textId="68E595F5" w:rsidR="00FA27D4" w:rsidRDefault="00C160CE" w:rsidP="00FA27D4">
      <w:pPr>
        <w:keepNext/>
      </w:pPr>
      <w:r>
        <w:rPr>
          <w:noProof/>
          <w:lang w:eastAsia="en-GB"/>
        </w:rPr>
        <w:lastRenderedPageBreak/>
        <w:drawing>
          <wp:inline distT="0" distB="0" distL="0" distR="0" wp14:anchorId="4AB6C579" wp14:editId="50A5D2B8">
            <wp:extent cx="5731510" cy="37439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_5_Fig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743960"/>
                    </a:xfrm>
                    <a:prstGeom prst="rect">
                      <a:avLst/>
                    </a:prstGeom>
                  </pic:spPr>
                </pic:pic>
              </a:graphicData>
            </a:graphic>
          </wp:inline>
        </w:drawing>
      </w:r>
    </w:p>
    <w:p w14:paraId="352544D4" w14:textId="34323474" w:rsidR="005813A0" w:rsidRDefault="00FA27D4" w:rsidP="00FA27D4">
      <w:pPr>
        <w:pStyle w:val="Caption"/>
      </w:pPr>
      <w:bookmarkStart w:id="24" w:name="_Ref115262915"/>
      <w:r>
        <w:t xml:space="preserve">Figure </w:t>
      </w:r>
      <w:r w:rsidR="00E14893">
        <w:fldChar w:fldCharType="begin"/>
      </w:r>
      <w:r w:rsidR="00E14893">
        <w:instrText xml:space="preserve"> SEQ Figure \* ARABIC </w:instrText>
      </w:r>
      <w:r w:rsidR="00E14893">
        <w:fldChar w:fldCharType="separate"/>
      </w:r>
      <w:r w:rsidR="00080770">
        <w:rPr>
          <w:noProof/>
        </w:rPr>
        <w:t>13</w:t>
      </w:r>
      <w:r w:rsidR="00E14893">
        <w:rPr>
          <w:noProof/>
        </w:rPr>
        <w:fldChar w:fldCharType="end"/>
      </w:r>
      <w:bookmarkEnd w:id="24"/>
      <w:r>
        <w:t xml:space="preserve">: </w:t>
      </w:r>
      <w:r w:rsidRPr="00AF4302">
        <w:t xml:space="preserve">Chart showing the proportion of the 2013 </w:t>
      </w:r>
      <w:r>
        <w:t xml:space="preserve">Key Stage 4 </w:t>
      </w:r>
      <w:r w:rsidRPr="00AF4302">
        <w:t xml:space="preserve">cohort who were participating in degree-level study at age 21. Results are split by </w:t>
      </w:r>
      <w:r>
        <w:t>region</w:t>
      </w:r>
      <w:r w:rsidRPr="00AF4302">
        <w:t xml:space="preserve"> and shown separately for the group total, those who were eligible for free school meals (FSM) for at least 80% of school terms, those who were eligible for 25% of terms or less, and those who were never eligible. Degree-level study is defined as being enrolled on a qualification at NQF level 6 in a higher education institution.</w:t>
      </w:r>
      <w:r>
        <w:t xml:space="preserve"> </w:t>
      </w:r>
      <w:r w:rsidR="00E43027">
        <w:t>Region is based on school attended at age 16.</w:t>
      </w:r>
    </w:p>
    <w:p w14:paraId="362B7449" w14:textId="1DE46060" w:rsidR="00882925" w:rsidRDefault="00882925" w:rsidP="00882925">
      <w:pPr>
        <w:pStyle w:val="Heading3"/>
      </w:pPr>
      <w:r>
        <w:t>3.6. Outcomes and attainment for long-term disadvantaged individuals by region and ethnicity</w:t>
      </w:r>
    </w:p>
    <w:p w14:paraId="636FC0B5" w14:textId="50D33C76" w:rsidR="00310702" w:rsidRDefault="00310702" w:rsidP="00310702">
      <w:pPr>
        <w:pStyle w:val="Heading4"/>
      </w:pPr>
      <w:r>
        <w:t>Ethnic composition of the long-term disadvantaged group by region</w:t>
      </w:r>
    </w:p>
    <w:p w14:paraId="2B030F09" w14:textId="5FD5C702" w:rsidR="00F213A3" w:rsidRDefault="00050ECB" w:rsidP="00882925">
      <w:r>
        <w:t>Some of the variation in outcomes</w:t>
      </w:r>
      <w:r w:rsidR="00787630">
        <w:t xml:space="preserve"> by region can be explained by different ethnic </w:t>
      </w:r>
      <w:r w:rsidR="00BD05E5">
        <w:t>compositions</w:t>
      </w:r>
      <w:r w:rsidR="00F213A3">
        <w:t xml:space="preserve"> of the underlying populations</w:t>
      </w:r>
      <w:r w:rsidR="00787630">
        <w:t>. To explore this, we divide individuals into two groups</w:t>
      </w:r>
      <w:r w:rsidR="00F213A3">
        <w:t xml:space="preserve"> b</w:t>
      </w:r>
      <w:r w:rsidR="00310702">
        <w:t>ased on</w:t>
      </w:r>
      <w:r w:rsidR="00F213A3">
        <w:t xml:space="preserve"> their ethnic backgrounds </w:t>
      </w:r>
      <w:r w:rsidR="00310702">
        <w:t>(based on previous work</w:t>
      </w:r>
      <w:r w:rsidR="00F44825">
        <w:rPr>
          <w:rStyle w:val="EndnoteReference"/>
        </w:rPr>
        <w:endnoteReference w:id="8"/>
      </w:r>
      <w:r w:rsidR="00310702">
        <w:t xml:space="preserve"> which largely mirrors results in section </w:t>
      </w:r>
      <w:r w:rsidR="00310702">
        <w:fldChar w:fldCharType="begin"/>
      </w:r>
      <w:r w:rsidR="00310702">
        <w:instrText xml:space="preserve"> REF _Ref116551109 \h </w:instrText>
      </w:r>
      <w:r w:rsidR="00310702">
        <w:fldChar w:fldCharType="separate"/>
      </w:r>
      <w:r w:rsidR="00310702">
        <w:t>3.4.</w:t>
      </w:r>
      <w:r w:rsidR="00310702">
        <w:fldChar w:fldCharType="end"/>
      </w:r>
      <w:r w:rsidR="00310702">
        <w:t>)</w:t>
      </w:r>
      <w:r w:rsidR="00787630">
        <w:t>:</w:t>
      </w:r>
    </w:p>
    <w:p w14:paraId="7D59A971" w14:textId="115402FF" w:rsidR="00F213A3" w:rsidRDefault="00F213A3" w:rsidP="00F213A3">
      <w:pPr>
        <w:pStyle w:val="ListParagraph"/>
        <w:numPr>
          <w:ilvl w:val="0"/>
          <w:numId w:val="7"/>
        </w:numPr>
      </w:pPr>
      <w:r>
        <w:t>Where disadvantage has a high impact on outcomes – those from White British, White Irish, Irish Traveller, Roma, Black Caribbean, and Mixed White and Black Caribbean backgrounds, as well as those whose ethnic background is unknown.</w:t>
      </w:r>
    </w:p>
    <w:p w14:paraId="43A96DC3" w14:textId="2CDDBA20" w:rsidR="00F213A3" w:rsidRDefault="00F213A3" w:rsidP="00F213A3">
      <w:pPr>
        <w:pStyle w:val="ListParagraph"/>
        <w:numPr>
          <w:ilvl w:val="0"/>
          <w:numId w:val="7"/>
        </w:numPr>
      </w:pPr>
      <w:r>
        <w:t>Where disadvantage has a low impact on outcomes – those from any other ethnic background.</w:t>
      </w:r>
    </w:p>
    <w:p w14:paraId="513A3823" w14:textId="65FF1D8B" w:rsidR="00F213A3" w:rsidRDefault="00310702" w:rsidP="00F213A3">
      <w:r>
        <w:fldChar w:fldCharType="begin"/>
      </w:r>
      <w:r>
        <w:instrText xml:space="preserve"> REF _Ref116551529 \h </w:instrText>
      </w:r>
      <w:r>
        <w:fldChar w:fldCharType="separate"/>
      </w:r>
      <w:r>
        <w:t xml:space="preserve">Table </w:t>
      </w:r>
      <w:r>
        <w:rPr>
          <w:noProof/>
        </w:rPr>
        <w:t>10</w:t>
      </w:r>
      <w:r>
        <w:fldChar w:fldCharType="end"/>
      </w:r>
      <w:r>
        <w:t xml:space="preserve"> (overleaf) </w:t>
      </w:r>
      <w:r w:rsidR="00F213A3">
        <w:t xml:space="preserve">shows the proportion of </w:t>
      </w:r>
      <w:r w:rsidR="0005315D">
        <w:t xml:space="preserve">the cohort </w:t>
      </w:r>
      <w:r w:rsidR="00F213A3">
        <w:t>in each region by the two ethnicity groupings above.</w:t>
      </w:r>
    </w:p>
    <w:p w14:paraId="34B87A34" w14:textId="459CE819" w:rsidR="0005315D" w:rsidRDefault="00310702" w:rsidP="00F213A3">
      <w:r>
        <w:t>There is</w:t>
      </w:r>
      <w:r w:rsidR="00F213A3">
        <w:t xml:space="preserve"> considerable variation between regions. In the North East 94% of </w:t>
      </w:r>
      <w:r w:rsidR="0005315D">
        <w:t xml:space="preserve">the cohort </w:t>
      </w:r>
      <w:r w:rsidR="00F213A3">
        <w:t>belong to a high-impact ethnic group</w:t>
      </w:r>
      <w:r>
        <w:t>,</w:t>
      </w:r>
      <w:r w:rsidR="00F213A3">
        <w:t xml:space="preserve"> compared with </w:t>
      </w:r>
      <w:r w:rsidR="0005315D">
        <w:t>79</w:t>
      </w:r>
      <w:r w:rsidR="00F213A3">
        <w:t>% in the West Midlands. London is</w:t>
      </w:r>
      <w:r w:rsidR="0073161B">
        <w:t xml:space="preserve"> a particular outlier, with a greater </w:t>
      </w:r>
      <w:r w:rsidR="0005315D">
        <w:t xml:space="preserve">of the cohort </w:t>
      </w:r>
      <w:r w:rsidR="0073161B">
        <w:t>belonging to a low-impact ethnic group (</w:t>
      </w:r>
      <w:r w:rsidR="0005315D">
        <w:t>54</w:t>
      </w:r>
      <w:r w:rsidR="0073161B">
        <w:t>%) than high-impact.</w:t>
      </w:r>
    </w:p>
    <w:p w14:paraId="4F65D017" w14:textId="684B6D06" w:rsidR="00310702" w:rsidRDefault="004F155C" w:rsidP="00F213A3">
      <w:r>
        <w:lastRenderedPageBreak/>
        <w:t>There is a similar pattern among long-term disadvantaged individuals. The North East has the greatest proportion of individuals belonging to a high-impact ethnic group (94%) and London the lowest (33%). London is, again, an outlier.</w:t>
      </w:r>
    </w:p>
    <w:p w14:paraId="77E69AA0" w14:textId="10A750EE" w:rsidR="0005315D" w:rsidRDefault="0005315D" w:rsidP="0005315D">
      <w:pPr>
        <w:pStyle w:val="Caption"/>
        <w:keepNext/>
      </w:pPr>
      <w:r>
        <w:t xml:space="preserve">Table </w:t>
      </w:r>
      <w:r w:rsidR="00E14893">
        <w:fldChar w:fldCharType="begin"/>
      </w:r>
      <w:r w:rsidR="00E14893">
        <w:instrText xml:space="preserve"> SEQ Table \* ARABIC </w:instrText>
      </w:r>
      <w:r w:rsidR="00E14893">
        <w:fldChar w:fldCharType="separate"/>
      </w:r>
      <w:r>
        <w:rPr>
          <w:noProof/>
        </w:rPr>
        <w:t>10</w:t>
      </w:r>
      <w:r w:rsidR="00E14893">
        <w:rPr>
          <w:noProof/>
        </w:rPr>
        <w:fldChar w:fldCharType="end"/>
      </w:r>
      <w:r>
        <w:t>:</w:t>
      </w:r>
      <w:r w:rsidRPr="0005315D">
        <w:t xml:space="preserve"> A summary the 2013 Key Stage 4 cohort by high/low impact ethnicity grouping and region, shown separately for the cohort overall and for those who were eligible for </w:t>
      </w:r>
      <w:r w:rsidR="008F02B5">
        <w:t>free school meals (</w:t>
      </w:r>
      <w:r w:rsidRPr="0005315D">
        <w:t>FSM</w:t>
      </w:r>
      <w:r w:rsidR="008F02B5">
        <w:t>)</w:t>
      </w:r>
      <w:r w:rsidRPr="0005315D">
        <w:t xml:space="preserve"> for at least 80% of their school careers. Region is defined by the school that individuals attended at age 16. The “high impact” ethnicity grouping includes those from White British, White Irish, Irish Traveller, Roma, Black Caribbean, and Mixed White and Black Caribbean backgrounds, as well as those whose ethnic background is unknown. The “low impact” grouping contains individuals from all other ethnic backgrounds.</w:t>
      </w:r>
    </w:p>
    <w:tbl>
      <w:tblPr>
        <w:tblW w:w="8678" w:type="dxa"/>
        <w:tblLook w:val="04A0" w:firstRow="1" w:lastRow="0" w:firstColumn="1" w:lastColumn="0" w:noHBand="0" w:noVBand="1"/>
      </w:tblPr>
      <w:tblGrid>
        <w:gridCol w:w="2778"/>
        <w:gridCol w:w="940"/>
        <w:gridCol w:w="940"/>
        <w:gridCol w:w="940"/>
        <w:gridCol w:w="260"/>
        <w:gridCol w:w="940"/>
        <w:gridCol w:w="940"/>
        <w:gridCol w:w="940"/>
      </w:tblGrid>
      <w:tr w:rsidR="00F44825" w:rsidRPr="00F44825" w14:paraId="03DF51C3" w14:textId="77777777" w:rsidTr="00F44825">
        <w:trPr>
          <w:trHeight w:val="300"/>
        </w:trPr>
        <w:tc>
          <w:tcPr>
            <w:tcW w:w="2778" w:type="dxa"/>
            <w:tcBorders>
              <w:top w:val="nil"/>
              <w:left w:val="nil"/>
              <w:bottom w:val="nil"/>
              <w:right w:val="nil"/>
            </w:tcBorders>
            <w:shd w:val="clear" w:color="auto" w:fill="auto"/>
            <w:noWrap/>
            <w:vAlign w:val="bottom"/>
            <w:hideMark/>
          </w:tcPr>
          <w:p w14:paraId="43F29E23" w14:textId="77777777" w:rsidR="00F44825" w:rsidRPr="00F44825" w:rsidRDefault="00F44825" w:rsidP="00F44825">
            <w:pPr>
              <w:spacing w:after="0" w:line="240" w:lineRule="auto"/>
              <w:rPr>
                <w:rFonts w:ascii="Times New Roman" w:eastAsia="Times New Roman" w:hAnsi="Times New Roman" w:cs="Times New Roman"/>
                <w:sz w:val="24"/>
                <w:szCs w:val="24"/>
                <w:lang w:eastAsia="en-GB"/>
              </w:rPr>
            </w:pPr>
          </w:p>
        </w:tc>
        <w:tc>
          <w:tcPr>
            <w:tcW w:w="2820" w:type="dxa"/>
            <w:gridSpan w:val="3"/>
            <w:tcBorders>
              <w:top w:val="nil"/>
              <w:left w:val="nil"/>
              <w:bottom w:val="single" w:sz="4" w:space="0" w:color="auto"/>
              <w:right w:val="nil"/>
            </w:tcBorders>
            <w:shd w:val="clear" w:color="auto" w:fill="auto"/>
            <w:noWrap/>
            <w:vAlign w:val="bottom"/>
            <w:hideMark/>
          </w:tcPr>
          <w:p w14:paraId="4DA96BD2" w14:textId="77777777" w:rsidR="00F44825" w:rsidRPr="00F44825" w:rsidRDefault="00F44825" w:rsidP="00F44825">
            <w:pPr>
              <w:spacing w:after="0" w:line="240" w:lineRule="auto"/>
              <w:jc w:val="center"/>
              <w:rPr>
                <w:rFonts w:eastAsia="Times New Roman" w:cs="Arial"/>
                <w:color w:val="000000"/>
                <w:lang w:eastAsia="en-GB"/>
              </w:rPr>
            </w:pPr>
            <w:r w:rsidRPr="00F44825">
              <w:rPr>
                <w:rFonts w:eastAsia="Times New Roman" w:cs="Arial"/>
                <w:color w:val="000000"/>
                <w:lang w:eastAsia="en-GB"/>
              </w:rPr>
              <w:t>FSM 80%+</w:t>
            </w:r>
          </w:p>
        </w:tc>
        <w:tc>
          <w:tcPr>
            <w:tcW w:w="260" w:type="dxa"/>
            <w:tcBorders>
              <w:top w:val="nil"/>
              <w:left w:val="nil"/>
              <w:bottom w:val="nil"/>
              <w:right w:val="nil"/>
            </w:tcBorders>
            <w:shd w:val="clear" w:color="auto" w:fill="auto"/>
            <w:noWrap/>
            <w:vAlign w:val="bottom"/>
            <w:hideMark/>
          </w:tcPr>
          <w:p w14:paraId="779A3F96" w14:textId="77777777" w:rsidR="00F44825" w:rsidRPr="00F44825" w:rsidRDefault="00F44825" w:rsidP="00F44825">
            <w:pPr>
              <w:spacing w:after="0" w:line="240" w:lineRule="auto"/>
              <w:jc w:val="center"/>
              <w:rPr>
                <w:rFonts w:eastAsia="Times New Roman" w:cs="Arial"/>
                <w:color w:val="000000"/>
                <w:lang w:eastAsia="en-GB"/>
              </w:rPr>
            </w:pPr>
          </w:p>
        </w:tc>
        <w:tc>
          <w:tcPr>
            <w:tcW w:w="2820" w:type="dxa"/>
            <w:gridSpan w:val="3"/>
            <w:tcBorders>
              <w:top w:val="nil"/>
              <w:left w:val="nil"/>
              <w:bottom w:val="single" w:sz="4" w:space="0" w:color="auto"/>
              <w:right w:val="nil"/>
            </w:tcBorders>
            <w:shd w:val="clear" w:color="auto" w:fill="auto"/>
            <w:noWrap/>
            <w:vAlign w:val="bottom"/>
            <w:hideMark/>
          </w:tcPr>
          <w:p w14:paraId="738657B3" w14:textId="77777777" w:rsidR="00F44825" w:rsidRPr="00F44825" w:rsidRDefault="00F44825" w:rsidP="00F44825">
            <w:pPr>
              <w:spacing w:after="0" w:line="240" w:lineRule="auto"/>
              <w:jc w:val="center"/>
              <w:rPr>
                <w:rFonts w:eastAsia="Times New Roman" w:cs="Arial"/>
                <w:color w:val="000000"/>
                <w:lang w:eastAsia="en-GB"/>
              </w:rPr>
            </w:pPr>
            <w:r w:rsidRPr="00F44825">
              <w:rPr>
                <w:rFonts w:eastAsia="Times New Roman" w:cs="Arial"/>
                <w:color w:val="000000"/>
                <w:lang w:eastAsia="en-GB"/>
              </w:rPr>
              <w:t>Overall</w:t>
            </w:r>
          </w:p>
        </w:tc>
      </w:tr>
      <w:tr w:rsidR="00F44825" w:rsidRPr="00F44825" w14:paraId="021C4448" w14:textId="77777777" w:rsidTr="00226090">
        <w:trPr>
          <w:trHeight w:val="600"/>
        </w:trPr>
        <w:tc>
          <w:tcPr>
            <w:tcW w:w="2778" w:type="dxa"/>
            <w:tcBorders>
              <w:top w:val="nil"/>
              <w:left w:val="nil"/>
              <w:bottom w:val="single" w:sz="4" w:space="0" w:color="auto"/>
              <w:right w:val="nil"/>
            </w:tcBorders>
            <w:shd w:val="clear" w:color="auto" w:fill="auto"/>
            <w:vAlign w:val="center"/>
            <w:hideMark/>
          </w:tcPr>
          <w:p w14:paraId="29505053" w14:textId="77777777" w:rsidR="00F44825" w:rsidRPr="00F44825" w:rsidRDefault="00F44825" w:rsidP="00F44825">
            <w:pPr>
              <w:spacing w:after="0" w:line="240" w:lineRule="auto"/>
              <w:rPr>
                <w:rFonts w:eastAsia="Times New Roman" w:cs="Arial"/>
                <w:color w:val="000000"/>
                <w:lang w:eastAsia="en-GB"/>
              </w:rPr>
            </w:pPr>
            <w:r w:rsidRPr="00F44825">
              <w:rPr>
                <w:rFonts w:eastAsia="Times New Roman" w:cs="Arial"/>
                <w:color w:val="000000"/>
                <w:lang w:eastAsia="en-GB"/>
              </w:rPr>
              <w:t>Region</w:t>
            </w:r>
          </w:p>
        </w:tc>
        <w:tc>
          <w:tcPr>
            <w:tcW w:w="940" w:type="dxa"/>
            <w:tcBorders>
              <w:top w:val="nil"/>
              <w:left w:val="nil"/>
              <w:bottom w:val="single" w:sz="4" w:space="0" w:color="auto"/>
              <w:right w:val="nil"/>
            </w:tcBorders>
            <w:shd w:val="clear" w:color="auto" w:fill="auto"/>
            <w:vAlign w:val="center"/>
            <w:hideMark/>
          </w:tcPr>
          <w:p w14:paraId="0926599F" w14:textId="77777777" w:rsidR="00F44825" w:rsidRPr="00F44825" w:rsidRDefault="00F44825"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Cohort (000s)</w:t>
            </w:r>
          </w:p>
        </w:tc>
        <w:tc>
          <w:tcPr>
            <w:tcW w:w="940" w:type="dxa"/>
            <w:tcBorders>
              <w:top w:val="nil"/>
              <w:left w:val="nil"/>
              <w:bottom w:val="single" w:sz="4" w:space="0" w:color="auto"/>
              <w:right w:val="nil"/>
            </w:tcBorders>
            <w:shd w:val="clear" w:color="auto" w:fill="auto"/>
            <w:vAlign w:val="center"/>
            <w:hideMark/>
          </w:tcPr>
          <w:p w14:paraId="1F48D798" w14:textId="77777777" w:rsidR="00F44825" w:rsidRPr="00F44825" w:rsidRDefault="00F44825"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 high impact</w:t>
            </w:r>
          </w:p>
        </w:tc>
        <w:tc>
          <w:tcPr>
            <w:tcW w:w="940" w:type="dxa"/>
            <w:tcBorders>
              <w:top w:val="nil"/>
              <w:left w:val="nil"/>
              <w:bottom w:val="single" w:sz="4" w:space="0" w:color="auto"/>
              <w:right w:val="nil"/>
            </w:tcBorders>
            <w:shd w:val="clear" w:color="auto" w:fill="auto"/>
            <w:vAlign w:val="center"/>
            <w:hideMark/>
          </w:tcPr>
          <w:p w14:paraId="4883A9DA" w14:textId="77777777" w:rsidR="00F44825" w:rsidRPr="00F44825" w:rsidRDefault="00F44825"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 low impact</w:t>
            </w:r>
          </w:p>
        </w:tc>
        <w:tc>
          <w:tcPr>
            <w:tcW w:w="260" w:type="dxa"/>
            <w:tcBorders>
              <w:top w:val="nil"/>
              <w:left w:val="nil"/>
              <w:bottom w:val="nil"/>
              <w:right w:val="nil"/>
            </w:tcBorders>
            <w:shd w:val="clear" w:color="auto" w:fill="auto"/>
            <w:vAlign w:val="center"/>
            <w:hideMark/>
          </w:tcPr>
          <w:p w14:paraId="7E17DC8B" w14:textId="77777777" w:rsidR="00F44825" w:rsidRPr="00F44825" w:rsidRDefault="00F44825" w:rsidP="00226090">
            <w:pPr>
              <w:spacing w:after="0" w:line="240" w:lineRule="auto"/>
              <w:jc w:val="right"/>
              <w:rPr>
                <w:rFonts w:eastAsia="Times New Roman" w:cs="Arial"/>
                <w:color w:val="000000"/>
                <w:lang w:eastAsia="en-GB"/>
              </w:rPr>
            </w:pPr>
          </w:p>
        </w:tc>
        <w:tc>
          <w:tcPr>
            <w:tcW w:w="940" w:type="dxa"/>
            <w:tcBorders>
              <w:top w:val="nil"/>
              <w:left w:val="nil"/>
              <w:bottom w:val="single" w:sz="4" w:space="0" w:color="auto"/>
              <w:right w:val="nil"/>
            </w:tcBorders>
            <w:shd w:val="clear" w:color="auto" w:fill="auto"/>
            <w:vAlign w:val="center"/>
            <w:hideMark/>
          </w:tcPr>
          <w:p w14:paraId="7474C438" w14:textId="77777777" w:rsidR="00F44825" w:rsidRPr="00F44825" w:rsidRDefault="00F44825"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Cohort (000s)</w:t>
            </w:r>
          </w:p>
        </w:tc>
        <w:tc>
          <w:tcPr>
            <w:tcW w:w="940" w:type="dxa"/>
            <w:tcBorders>
              <w:top w:val="nil"/>
              <w:left w:val="nil"/>
              <w:bottom w:val="single" w:sz="4" w:space="0" w:color="auto"/>
              <w:right w:val="nil"/>
            </w:tcBorders>
            <w:shd w:val="clear" w:color="auto" w:fill="auto"/>
            <w:vAlign w:val="center"/>
            <w:hideMark/>
          </w:tcPr>
          <w:p w14:paraId="3E987EC5" w14:textId="77777777" w:rsidR="00F44825" w:rsidRPr="00F44825" w:rsidRDefault="00F44825"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 high impact</w:t>
            </w:r>
          </w:p>
        </w:tc>
        <w:tc>
          <w:tcPr>
            <w:tcW w:w="940" w:type="dxa"/>
            <w:tcBorders>
              <w:top w:val="nil"/>
              <w:left w:val="nil"/>
              <w:bottom w:val="single" w:sz="4" w:space="0" w:color="auto"/>
              <w:right w:val="nil"/>
            </w:tcBorders>
            <w:shd w:val="clear" w:color="auto" w:fill="auto"/>
            <w:vAlign w:val="center"/>
            <w:hideMark/>
          </w:tcPr>
          <w:p w14:paraId="7B443117" w14:textId="77777777" w:rsidR="00F44825" w:rsidRPr="00F44825" w:rsidRDefault="00F44825"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 low impact</w:t>
            </w:r>
          </w:p>
        </w:tc>
      </w:tr>
      <w:tr w:rsidR="00226090" w:rsidRPr="00F44825" w14:paraId="56BED277" w14:textId="77777777" w:rsidTr="00226090">
        <w:trPr>
          <w:trHeight w:val="300"/>
        </w:trPr>
        <w:tc>
          <w:tcPr>
            <w:tcW w:w="2778" w:type="dxa"/>
            <w:tcBorders>
              <w:top w:val="nil"/>
              <w:left w:val="nil"/>
              <w:bottom w:val="nil"/>
              <w:right w:val="nil"/>
            </w:tcBorders>
            <w:shd w:val="clear" w:color="auto" w:fill="auto"/>
            <w:vAlign w:val="center"/>
            <w:hideMark/>
          </w:tcPr>
          <w:p w14:paraId="11743AA0" w14:textId="77777777" w:rsidR="00226090" w:rsidRPr="00F44825" w:rsidRDefault="00226090" w:rsidP="00226090">
            <w:pPr>
              <w:spacing w:after="0" w:line="240" w:lineRule="auto"/>
              <w:rPr>
                <w:rFonts w:eastAsia="Times New Roman" w:cs="Arial"/>
                <w:b/>
                <w:bCs/>
                <w:color w:val="000000"/>
                <w:lang w:eastAsia="en-GB"/>
              </w:rPr>
            </w:pPr>
            <w:r w:rsidRPr="00F44825">
              <w:rPr>
                <w:rFonts w:eastAsia="Times New Roman" w:cs="Arial"/>
                <w:b/>
                <w:bCs/>
                <w:color w:val="000000"/>
                <w:lang w:eastAsia="en-GB"/>
              </w:rPr>
              <w:t>Overall</w:t>
            </w:r>
          </w:p>
        </w:tc>
        <w:tc>
          <w:tcPr>
            <w:tcW w:w="940" w:type="dxa"/>
            <w:tcBorders>
              <w:top w:val="nil"/>
              <w:left w:val="nil"/>
              <w:bottom w:val="nil"/>
              <w:right w:val="nil"/>
            </w:tcBorders>
            <w:shd w:val="clear" w:color="auto" w:fill="auto"/>
            <w:vAlign w:val="center"/>
            <w:hideMark/>
          </w:tcPr>
          <w:p w14:paraId="32F9D602" w14:textId="3D736D6E" w:rsidR="00226090" w:rsidRPr="00226090" w:rsidRDefault="00226090" w:rsidP="00226090">
            <w:pPr>
              <w:spacing w:after="0" w:line="240" w:lineRule="auto"/>
              <w:jc w:val="right"/>
              <w:rPr>
                <w:rFonts w:eastAsia="Times New Roman" w:cs="Arial"/>
                <w:b/>
                <w:bCs/>
                <w:color w:val="000000"/>
                <w:lang w:eastAsia="en-GB"/>
              </w:rPr>
            </w:pPr>
            <w:r w:rsidRPr="00226090">
              <w:rPr>
                <w:b/>
              </w:rPr>
              <w:t>49.2</w:t>
            </w:r>
          </w:p>
        </w:tc>
        <w:tc>
          <w:tcPr>
            <w:tcW w:w="940" w:type="dxa"/>
            <w:tcBorders>
              <w:top w:val="nil"/>
              <w:left w:val="nil"/>
              <w:bottom w:val="nil"/>
              <w:right w:val="nil"/>
            </w:tcBorders>
            <w:shd w:val="clear" w:color="auto" w:fill="auto"/>
            <w:noWrap/>
            <w:vAlign w:val="center"/>
            <w:hideMark/>
          </w:tcPr>
          <w:p w14:paraId="3593D8F4" w14:textId="77777777" w:rsidR="00226090" w:rsidRPr="00F44825" w:rsidRDefault="00226090" w:rsidP="00226090">
            <w:pPr>
              <w:spacing w:after="0" w:line="240" w:lineRule="auto"/>
              <w:jc w:val="right"/>
              <w:rPr>
                <w:rFonts w:eastAsia="Times New Roman" w:cs="Arial"/>
                <w:b/>
                <w:bCs/>
                <w:color w:val="000000"/>
                <w:lang w:eastAsia="en-GB"/>
              </w:rPr>
            </w:pPr>
            <w:r w:rsidRPr="00F44825">
              <w:rPr>
                <w:rFonts w:eastAsia="Times New Roman" w:cs="Arial"/>
                <w:b/>
                <w:bCs/>
                <w:color w:val="000000"/>
                <w:lang w:eastAsia="en-GB"/>
              </w:rPr>
              <w:t>67%</w:t>
            </w:r>
          </w:p>
        </w:tc>
        <w:tc>
          <w:tcPr>
            <w:tcW w:w="940" w:type="dxa"/>
            <w:tcBorders>
              <w:top w:val="nil"/>
              <w:left w:val="nil"/>
              <w:bottom w:val="nil"/>
              <w:right w:val="nil"/>
            </w:tcBorders>
            <w:shd w:val="clear" w:color="auto" w:fill="auto"/>
            <w:noWrap/>
            <w:vAlign w:val="center"/>
            <w:hideMark/>
          </w:tcPr>
          <w:p w14:paraId="03F6D466" w14:textId="77777777" w:rsidR="00226090" w:rsidRPr="00F44825" w:rsidRDefault="00226090" w:rsidP="00226090">
            <w:pPr>
              <w:spacing w:after="0" w:line="240" w:lineRule="auto"/>
              <w:jc w:val="right"/>
              <w:rPr>
                <w:rFonts w:eastAsia="Times New Roman" w:cs="Arial"/>
                <w:b/>
                <w:bCs/>
                <w:color w:val="000000"/>
                <w:lang w:eastAsia="en-GB"/>
              </w:rPr>
            </w:pPr>
            <w:r w:rsidRPr="00F44825">
              <w:rPr>
                <w:rFonts w:eastAsia="Times New Roman" w:cs="Arial"/>
                <w:b/>
                <w:bCs/>
                <w:color w:val="000000"/>
                <w:lang w:eastAsia="en-GB"/>
              </w:rPr>
              <w:t>33%</w:t>
            </w:r>
          </w:p>
        </w:tc>
        <w:tc>
          <w:tcPr>
            <w:tcW w:w="260" w:type="dxa"/>
            <w:tcBorders>
              <w:top w:val="nil"/>
              <w:left w:val="nil"/>
              <w:bottom w:val="nil"/>
              <w:right w:val="nil"/>
            </w:tcBorders>
            <w:shd w:val="clear" w:color="auto" w:fill="auto"/>
            <w:noWrap/>
            <w:vAlign w:val="center"/>
            <w:hideMark/>
          </w:tcPr>
          <w:p w14:paraId="2F3EF2AC" w14:textId="77777777" w:rsidR="00226090" w:rsidRPr="00F44825" w:rsidRDefault="00226090" w:rsidP="00226090">
            <w:pPr>
              <w:spacing w:after="0" w:line="240" w:lineRule="auto"/>
              <w:jc w:val="right"/>
              <w:rPr>
                <w:rFonts w:eastAsia="Times New Roman" w:cs="Arial"/>
                <w:b/>
                <w:bCs/>
                <w:color w:val="000000"/>
                <w:lang w:eastAsia="en-GB"/>
              </w:rPr>
            </w:pPr>
          </w:p>
        </w:tc>
        <w:tc>
          <w:tcPr>
            <w:tcW w:w="940" w:type="dxa"/>
            <w:tcBorders>
              <w:top w:val="nil"/>
              <w:left w:val="nil"/>
              <w:bottom w:val="nil"/>
              <w:right w:val="nil"/>
            </w:tcBorders>
            <w:shd w:val="clear" w:color="auto" w:fill="auto"/>
            <w:vAlign w:val="center"/>
            <w:hideMark/>
          </w:tcPr>
          <w:p w14:paraId="1CF06B01" w14:textId="5E3BD985" w:rsidR="00226090" w:rsidRPr="00226090" w:rsidRDefault="00226090" w:rsidP="00226090">
            <w:pPr>
              <w:spacing w:after="0" w:line="240" w:lineRule="auto"/>
              <w:jc w:val="right"/>
              <w:rPr>
                <w:rFonts w:eastAsia="Times New Roman" w:cs="Arial"/>
                <w:b/>
                <w:bCs/>
                <w:color w:val="000000"/>
                <w:lang w:eastAsia="en-GB"/>
              </w:rPr>
            </w:pPr>
            <w:r w:rsidRPr="00226090">
              <w:rPr>
                <w:b/>
              </w:rPr>
              <w:t>599.3</w:t>
            </w:r>
          </w:p>
        </w:tc>
        <w:tc>
          <w:tcPr>
            <w:tcW w:w="940" w:type="dxa"/>
            <w:tcBorders>
              <w:top w:val="nil"/>
              <w:left w:val="nil"/>
              <w:bottom w:val="nil"/>
              <w:right w:val="nil"/>
            </w:tcBorders>
            <w:shd w:val="clear" w:color="auto" w:fill="auto"/>
            <w:noWrap/>
            <w:vAlign w:val="center"/>
            <w:hideMark/>
          </w:tcPr>
          <w:p w14:paraId="4E45D9E2" w14:textId="77777777" w:rsidR="00226090" w:rsidRPr="00F44825" w:rsidRDefault="00226090" w:rsidP="00226090">
            <w:pPr>
              <w:spacing w:after="0" w:line="240" w:lineRule="auto"/>
              <w:jc w:val="right"/>
              <w:rPr>
                <w:rFonts w:eastAsia="Times New Roman" w:cs="Arial"/>
                <w:b/>
                <w:bCs/>
                <w:color w:val="000000"/>
                <w:lang w:eastAsia="en-GB"/>
              </w:rPr>
            </w:pPr>
            <w:r w:rsidRPr="00F44825">
              <w:rPr>
                <w:rFonts w:eastAsia="Times New Roman" w:cs="Arial"/>
                <w:b/>
                <w:bCs/>
                <w:color w:val="000000"/>
                <w:lang w:eastAsia="en-GB"/>
              </w:rPr>
              <w:t>80%</w:t>
            </w:r>
          </w:p>
        </w:tc>
        <w:tc>
          <w:tcPr>
            <w:tcW w:w="940" w:type="dxa"/>
            <w:tcBorders>
              <w:top w:val="nil"/>
              <w:left w:val="nil"/>
              <w:bottom w:val="nil"/>
              <w:right w:val="nil"/>
            </w:tcBorders>
            <w:shd w:val="clear" w:color="auto" w:fill="auto"/>
            <w:noWrap/>
            <w:vAlign w:val="center"/>
            <w:hideMark/>
          </w:tcPr>
          <w:p w14:paraId="68C488BE" w14:textId="77777777" w:rsidR="00226090" w:rsidRPr="00F44825" w:rsidRDefault="00226090" w:rsidP="00226090">
            <w:pPr>
              <w:spacing w:after="0" w:line="240" w:lineRule="auto"/>
              <w:jc w:val="right"/>
              <w:rPr>
                <w:rFonts w:eastAsia="Times New Roman" w:cs="Arial"/>
                <w:b/>
                <w:bCs/>
                <w:color w:val="000000"/>
                <w:lang w:eastAsia="en-GB"/>
              </w:rPr>
            </w:pPr>
            <w:r w:rsidRPr="00F44825">
              <w:rPr>
                <w:rFonts w:eastAsia="Times New Roman" w:cs="Arial"/>
                <w:b/>
                <w:bCs/>
                <w:color w:val="000000"/>
                <w:lang w:eastAsia="en-GB"/>
              </w:rPr>
              <w:t>20%</w:t>
            </w:r>
          </w:p>
        </w:tc>
      </w:tr>
      <w:tr w:rsidR="00226090" w:rsidRPr="00F44825" w14:paraId="33B4E6DC" w14:textId="77777777" w:rsidTr="00226090">
        <w:trPr>
          <w:trHeight w:val="300"/>
        </w:trPr>
        <w:tc>
          <w:tcPr>
            <w:tcW w:w="2778" w:type="dxa"/>
            <w:tcBorders>
              <w:top w:val="nil"/>
              <w:left w:val="nil"/>
              <w:bottom w:val="nil"/>
              <w:right w:val="nil"/>
            </w:tcBorders>
            <w:shd w:val="clear" w:color="auto" w:fill="auto"/>
            <w:vAlign w:val="center"/>
            <w:hideMark/>
          </w:tcPr>
          <w:p w14:paraId="719CF937" w14:textId="77777777" w:rsidR="00226090" w:rsidRPr="00F44825" w:rsidRDefault="00226090" w:rsidP="00226090">
            <w:pPr>
              <w:spacing w:after="0" w:line="240" w:lineRule="auto"/>
              <w:jc w:val="right"/>
              <w:rPr>
                <w:rFonts w:eastAsia="Times New Roman" w:cs="Arial"/>
                <w:b/>
                <w:bCs/>
                <w:color w:val="000000"/>
                <w:lang w:eastAsia="en-GB"/>
              </w:rPr>
            </w:pPr>
          </w:p>
        </w:tc>
        <w:tc>
          <w:tcPr>
            <w:tcW w:w="940" w:type="dxa"/>
            <w:tcBorders>
              <w:top w:val="nil"/>
              <w:left w:val="nil"/>
              <w:bottom w:val="nil"/>
              <w:right w:val="nil"/>
            </w:tcBorders>
            <w:shd w:val="clear" w:color="auto" w:fill="auto"/>
            <w:noWrap/>
            <w:vAlign w:val="center"/>
            <w:hideMark/>
          </w:tcPr>
          <w:p w14:paraId="2E11B8F4" w14:textId="77777777" w:rsidR="00226090" w:rsidRPr="00F44825" w:rsidRDefault="00226090" w:rsidP="00226090">
            <w:pPr>
              <w:spacing w:after="0" w:line="240" w:lineRule="auto"/>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center"/>
            <w:hideMark/>
          </w:tcPr>
          <w:p w14:paraId="78F139C9" w14:textId="77777777" w:rsidR="00226090" w:rsidRPr="00F44825" w:rsidRDefault="00226090" w:rsidP="00226090">
            <w:pPr>
              <w:spacing w:after="0" w:line="240" w:lineRule="auto"/>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center"/>
            <w:hideMark/>
          </w:tcPr>
          <w:p w14:paraId="5942C95B" w14:textId="77777777" w:rsidR="00226090" w:rsidRPr="00F44825" w:rsidRDefault="00226090" w:rsidP="00226090">
            <w:pPr>
              <w:spacing w:after="0" w:line="240" w:lineRule="auto"/>
              <w:jc w:val="right"/>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center"/>
            <w:hideMark/>
          </w:tcPr>
          <w:p w14:paraId="72339347" w14:textId="77777777" w:rsidR="00226090" w:rsidRPr="00F44825" w:rsidRDefault="00226090" w:rsidP="00226090">
            <w:pPr>
              <w:spacing w:after="0" w:line="240" w:lineRule="auto"/>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center"/>
            <w:hideMark/>
          </w:tcPr>
          <w:p w14:paraId="3FA60839" w14:textId="77777777" w:rsidR="00226090" w:rsidRPr="00226090" w:rsidRDefault="00226090" w:rsidP="00226090">
            <w:pPr>
              <w:spacing w:after="0" w:line="240" w:lineRule="auto"/>
              <w:jc w:val="right"/>
              <w:rPr>
                <w:rFonts w:ascii="Times New Roman" w:eastAsia="Times New Roman" w:hAnsi="Times New Roman" w:cs="Times New Roman"/>
                <w:b/>
                <w:sz w:val="20"/>
                <w:szCs w:val="20"/>
                <w:lang w:eastAsia="en-GB"/>
              </w:rPr>
            </w:pPr>
          </w:p>
        </w:tc>
        <w:tc>
          <w:tcPr>
            <w:tcW w:w="940" w:type="dxa"/>
            <w:tcBorders>
              <w:top w:val="nil"/>
              <w:left w:val="nil"/>
              <w:bottom w:val="nil"/>
              <w:right w:val="nil"/>
            </w:tcBorders>
            <w:shd w:val="clear" w:color="auto" w:fill="auto"/>
            <w:noWrap/>
            <w:vAlign w:val="center"/>
            <w:hideMark/>
          </w:tcPr>
          <w:p w14:paraId="5F964F3E" w14:textId="77777777" w:rsidR="00226090" w:rsidRPr="00F44825" w:rsidRDefault="00226090" w:rsidP="00226090">
            <w:pPr>
              <w:spacing w:after="0" w:line="240" w:lineRule="auto"/>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center"/>
            <w:hideMark/>
          </w:tcPr>
          <w:p w14:paraId="246AE3E1" w14:textId="77777777" w:rsidR="00226090" w:rsidRPr="00F44825" w:rsidRDefault="00226090" w:rsidP="00226090">
            <w:pPr>
              <w:spacing w:after="0" w:line="240" w:lineRule="auto"/>
              <w:jc w:val="right"/>
              <w:rPr>
                <w:rFonts w:ascii="Times New Roman" w:eastAsia="Times New Roman" w:hAnsi="Times New Roman" w:cs="Times New Roman"/>
                <w:sz w:val="20"/>
                <w:szCs w:val="20"/>
                <w:lang w:eastAsia="en-GB"/>
              </w:rPr>
            </w:pPr>
          </w:p>
        </w:tc>
      </w:tr>
      <w:tr w:rsidR="00226090" w:rsidRPr="00F44825" w14:paraId="2A3ACE87" w14:textId="77777777" w:rsidTr="00226090">
        <w:trPr>
          <w:trHeight w:val="300"/>
        </w:trPr>
        <w:tc>
          <w:tcPr>
            <w:tcW w:w="2778" w:type="dxa"/>
            <w:tcBorders>
              <w:top w:val="nil"/>
              <w:left w:val="nil"/>
              <w:bottom w:val="nil"/>
              <w:right w:val="nil"/>
            </w:tcBorders>
            <w:shd w:val="clear" w:color="auto" w:fill="auto"/>
            <w:vAlign w:val="center"/>
            <w:hideMark/>
          </w:tcPr>
          <w:p w14:paraId="3E0961A2"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North East</w:t>
            </w:r>
          </w:p>
        </w:tc>
        <w:tc>
          <w:tcPr>
            <w:tcW w:w="940" w:type="dxa"/>
            <w:tcBorders>
              <w:top w:val="nil"/>
              <w:left w:val="nil"/>
              <w:bottom w:val="nil"/>
              <w:right w:val="nil"/>
            </w:tcBorders>
            <w:shd w:val="clear" w:color="auto" w:fill="auto"/>
            <w:vAlign w:val="center"/>
            <w:hideMark/>
          </w:tcPr>
          <w:p w14:paraId="08F36A48" w14:textId="191DC510" w:rsidR="00226090" w:rsidRPr="00F44825" w:rsidRDefault="00226090" w:rsidP="00226090">
            <w:pPr>
              <w:spacing w:after="0" w:line="240" w:lineRule="auto"/>
              <w:jc w:val="right"/>
              <w:rPr>
                <w:rFonts w:eastAsia="Times New Roman" w:cs="Arial"/>
                <w:color w:val="000000"/>
                <w:lang w:eastAsia="en-GB"/>
              </w:rPr>
            </w:pPr>
            <w:r w:rsidRPr="00503046">
              <w:t>3.7</w:t>
            </w:r>
          </w:p>
        </w:tc>
        <w:tc>
          <w:tcPr>
            <w:tcW w:w="940" w:type="dxa"/>
            <w:tcBorders>
              <w:top w:val="nil"/>
              <w:left w:val="nil"/>
              <w:bottom w:val="nil"/>
              <w:right w:val="nil"/>
            </w:tcBorders>
            <w:shd w:val="clear" w:color="auto" w:fill="auto"/>
            <w:noWrap/>
            <w:vAlign w:val="center"/>
            <w:hideMark/>
          </w:tcPr>
          <w:p w14:paraId="7D410B3E"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94%</w:t>
            </w:r>
          </w:p>
        </w:tc>
        <w:tc>
          <w:tcPr>
            <w:tcW w:w="940" w:type="dxa"/>
            <w:tcBorders>
              <w:top w:val="nil"/>
              <w:left w:val="nil"/>
              <w:bottom w:val="nil"/>
              <w:right w:val="nil"/>
            </w:tcBorders>
            <w:shd w:val="clear" w:color="auto" w:fill="auto"/>
            <w:noWrap/>
            <w:vAlign w:val="center"/>
            <w:hideMark/>
          </w:tcPr>
          <w:p w14:paraId="4359477A"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6%</w:t>
            </w:r>
          </w:p>
        </w:tc>
        <w:tc>
          <w:tcPr>
            <w:tcW w:w="260" w:type="dxa"/>
            <w:tcBorders>
              <w:top w:val="nil"/>
              <w:left w:val="nil"/>
              <w:bottom w:val="nil"/>
              <w:right w:val="nil"/>
            </w:tcBorders>
            <w:shd w:val="clear" w:color="auto" w:fill="auto"/>
            <w:noWrap/>
            <w:vAlign w:val="center"/>
            <w:hideMark/>
          </w:tcPr>
          <w:p w14:paraId="5317FA32"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59E63910" w14:textId="6795D0ED" w:rsidR="00226090" w:rsidRPr="00F44825" w:rsidRDefault="00226090" w:rsidP="00226090">
            <w:pPr>
              <w:spacing w:after="0" w:line="240" w:lineRule="auto"/>
              <w:jc w:val="right"/>
              <w:rPr>
                <w:rFonts w:eastAsia="Times New Roman" w:cs="Arial"/>
                <w:color w:val="000000"/>
                <w:lang w:eastAsia="en-GB"/>
              </w:rPr>
            </w:pPr>
            <w:r w:rsidRPr="00005624">
              <w:t>29.8</w:t>
            </w:r>
          </w:p>
        </w:tc>
        <w:tc>
          <w:tcPr>
            <w:tcW w:w="940" w:type="dxa"/>
            <w:tcBorders>
              <w:top w:val="nil"/>
              <w:left w:val="nil"/>
              <w:bottom w:val="nil"/>
              <w:right w:val="nil"/>
            </w:tcBorders>
            <w:shd w:val="clear" w:color="auto" w:fill="auto"/>
            <w:noWrap/>
            <w:vAlign w:val="center"/>
            <w:hideMark/>
          </w:tcPr>
          <w:p w14:paraId="7028000A"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94%</w:t>
            </w:r>
          </w:p>
        </w:tc>
        <w:tc>
          <w:tcPr>
            <w:tcW w:w="940" w:type="dxa"/>
            <w:tcBorders>
              <w:top w:val="nil"/>
              <w:left w:val="nil"/>
              <w:bottom w:val="nil"/>
              <w:right w:val="nil"/>
            </w:tcBorders>
            <w:shd w:val="clear" w:color="auto" w:fill="auto"/>
            <w:noWrap/>
            <w:vAlign w:val="center"/>
            <w:hideMark/>
          </w:tcPr>
          <w:p w14:paraId="499668AF"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6%</w:t>
            </w:r>
          </w:p>
        </w:tc>
      </w:tr>
      <w:tr w:rsidR="00226090" w:rsidRPr="00F44825" w14:paraId="3E8305AA" w14:textId="77777777" w:rsidTr="00226090">
        <w:trPr>
          <w:trHeight w:val="300"/>
        </w:trPr>
        <w:tc>
          <w:tcPr>
            <w:tcW w:w="2778" w:type="dxa"/>
            <w:tcBorders>
              <w:top w:val="nil"/>
              <w:left w:val="nil"/>
              <w:bottom w:val="nil"/>
              <w:right w:val="nil"/>
            </w:tcBorders>
            <w:shd w:val="clear" w:color="auto" w:fill="auto"/>
            <w:vAlign w:val="center"/>
            <w:hideMark/>
          </w:tcPr>
          <w:p w14:paraId="2D11D96D"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South West</w:t>
            </w:r>
          </w:p>
        </w:tc>
        <w:tc>
          <w:tcPr>
            <w:tcW w:w="940" w:type="dxa"/>
            <w:tcBorders>
              <w:top w:val="nil"/>
              <w:left w:val="nil"/>
              <w:bottom w:val="nil"/>
              <w:right w:val="nil"/>
            </w:tcBorders>
            <w:shd w:val="clear" w:color="auto" w:fill="auto"/>
            <w:noWrap/>
            <w:vAlign w:val="center"/>
            <w:hideMark/>
          </w:tcPr>
          <w:p w14:paraId="20CEEFE9" w14:textId="5B8225E6" w:rsidR="00226090" w:rsidRPr="00F44825" w:rsidRDefault="00226090" w:rsidP="00226090">
            <w:pPr>
              <w:spacing w:after="0" w:line="240" w:lineRule="auto"/>
              <w:jc w:val="right"/>
              <w:rPr>
                <w:rFonts w:eastAsia="Times New Roman" w:cs="Arial"/>
                <w:color w:val="000000"/>
                <w:lang w:eastAsia="en-GB"/>
              </w:rPr>
            </w:pPr>
            <w:r w:rsidRPr="00503046">
              <w:t>2.5</w:t>
            </w:r>
          </w:p>
        </w:tc>
        <w:tc>
          <w:tcPr>
            <w:tcW w:w="940" w:type="dxa"/>
            <w:tcBorders>
              <w:top w:val="nil"/>
              <w:left w:val="nil"/>
              <w:bottom w:val="nil"/>
              <w:right w:val="nil"/>
            </w:tcBorders>
            <w:shd w:val="clear" w:color="auto" w:fill="auto"/>
            <w:noWrap/>
            <w:vAlign w:val="center"/>
            <w:hideMark/>
          </w:tcPr>
          <w:p w14:paraId="3DD671CC"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89%</w:t>
            </w:r>
          </w:p>
        </w:tc>
        <w:tc>
          <w:tcPr>
            <w:tcW w:w="940" w:type="dxa"/>
            <w:tcBorders>
              <w:top w:val="nil"/>
              <w:left w:val="nil"/>
              <w:bottom w:val="nil"/>
              <w:right w:val="nil"/>
            </w:tcBorders>
            <w:shd w:val="clear" w:color="auto" w:fill="auto"/>
            <w:noWrap/>
            <w:vAlign w:val="center"/>
            <w:hideMark/>
          </w:tcPr>
          <w:p w14:paraId="66D862C5"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11%</w:t>
            </w:r>
          </w:p>
        </w:tc>
        <w:tc>
          <w:tcPr>
            <w:tcW w:w="260" w:type="dxa"/>
            <w:tcBorders>
              <w:top w:val="nil"/>
              <w:left w:val="nil"/>
              <w:bottom w:val="nil"/>
              <w:right w:val="nil"/>
            </w:tcBorders>
            <w:shd w:val="clear" w:color="auto" w:fill="auto"/>
            <w:noWrap/>
            <w:vAlign w:val="center"/>
            <w:hideMark/>
          </w:tcPr>
          <w:p w14:paraId="1651FA3C"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61F97B07" w14:textId="49679A5C" w:rsidR="00226090" w:rsidRPr="00F44825" w:rsidRDefault="00226090" w:rsidP="00226090">
            <w:pPr>
              <w:spacing w:after="0" w:line="240" w:lineRule="auto"/>
              <w:jc w:val="right"/>
              <w:rPr>
                <w:rFonts w:eastAsia="Times New Roman" w:cs="Arial"/>
                <w:color w:val="000000"/>
                <w:lang w:eastAsia="en-GB"/>
              </w:rPr>
            </w:pPr>
            <w:r w:rsidRPr="00005624">
              <w:t>58.9</w:t>
            </w:r>
          </w:p>
        </w:tc>
        <w:tc>
          <w:tcPr>
            <w:tcW w:w="940" w:type="dxa"/>
            <w:tcBorders>
              <w:top w:val="nil"/>
              <w:left w:val="nil"/>
              <w:bottom w:val="nil"/>
              <w:right w:val="nil"/>
            </w:tcBorders>
            <w:shd w:val="clear" w:color="auto" w:fill="auto"/>
            <w:noWrap/>
            <w:vAlign w:val="center"/>
            <w:hideMark/>
          </w:tcPr>
          <w:p w14:paraId="3AF1B454"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92%</w:t>
            </w:r>
          </w:p>
        </w:tc>
        <w:tc>
          <w:tcPr>
            <w:tcW w:w="940" w:type="dxa"/>
            <w:tcBorders>
              <w:top w:val="nil"/>
              <w:left w:val="nil"/>
              <w:bottom w:val="nil"/>
              <w:right w:val="nil"/>
            </w:tcBorders>
            <w:shd w:val="clear" w:color="auto" w:fill="auto"/>
            <w:noWrap/>
            <w:vAlign w:val="center"/>
            <w:hideMark/>
          </w:tcPr>
          <w:p w14:paraId="659FCCDC"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w:t>
            </w:r>
          </w:p>
        </w:tc>
      </w:tr>
      <w:tr w:rsidR="00226090" w:rsidRPr="00F44825" w14:paraId="180950C1" w14:textId="77777777" w:rsidTr="00226090">
        <w:trPr>
          <w:trHeight w:val="300"/>
        </w:trPr>
        <w:tc>
          <w:tcPr>
            <w:tcW w:w="2778" w:type="dxa"/>
            <w:tcBorders>
              <w:top w:val="nil"/>
              <w:left w:val="nil"/>
              <w:bottom w:val="nil"/>
              <w:right w:val="nil"/>
            </w:tcBorders>
            <w:shd w:val="clear" w:color="auto" w:fill="auto"/>
            <w:vAlign w:val="center"/>
            <w:hideMark/>
          </w:tcPr>
          <w:p w14:paraId="437D1A42"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East</w:t>
            </w:r>
          </w:p>
        </w:tc>
        <w:tc>
          <w:tcPr>
            <w:tcW w:w="940" w:type="dxa"/>
            <w:tcBorders>
              <w:top w:val="nil"/>
              <w:left w:val="nil"/>
              <w:bottom w:val="nil"/>
              <w:right w:val="nil"/>
            </w:tcBorders>
            <w:shd w:val="clear" w:color="auto" w:fill="auto"/>
            <w:vAlign w:val="center"/>
            <w:hideMark/>
          </w:tcPr>
          <w:p w14:paraId="3165251A" w14:textId="0B84A659" w:rsidR="00226090" w:rsidRPr="00F44825" w:rsidRDefault="00226090" w:rsidP="00226090">
            <w:pPr>
              <w:spacing w:after="0" w:line="240" w:lineRule="auto"/>
              <w:jc w:val="right"/>
              <w:rPr>
                <w:rFonts w:eastAsia="Times New Roman" w:cs="Arial"/>
                <w:color w:val="000000"/>
                <w:lang w:eastAsia="en-GB"/>
              </w:rPr>
            </w:pPr>
            <w:r w:rsidRPr="00503046">
              <w:t>3.0</w:t>
            </w:r>
          </w:p>
        </w:tc>
        <w:tc>
          <w:tcPr>
            <w:tcW w:w="940" w:type="dxa"/>
            <w:tcBorders>
              <w:top w:val="nil"/>
              <w:left w:val="nil"/>
              <w:bottom w:val="nil"/>
              <w:right w:val="nil"/>
            </w:tcBorders>
            <w:shd w:val="clear" w:color="auto" w:fill="auto"/>
            <w:noWrap/>
            <w:vAlign w:val="center"/>
            <w:hideMark/>
          </w:tcPr>
          <w:p w14:paraId="104D2918"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82%</w:t>
            </w:r>
          </w:p>
        </w:tc>
        <w:tc>
          <w:tcPr>
            <w:tcW w:w="940" w:type="dxa"/>
            <w:tcBorders>
              <w:top w:val="nil"/>
              <w:left w:val="nil"/>
              <w:bottom w:val="nil"/>
              <w:right w:val="nil"/>
            </w:tcBorders>
            <w:shd w:val="clear" w:color="auto" w:fill="auto"/>
            <w:noWrap/>
            <w:vAlign w:val="center"/>
            <w:hideMark/>
          </w:tcPr>
          <w:p w14:paraId="7B2E3E9A"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18%</w:t>
            </w:r>
          </w:p>
        </w:tc>
        <w:tc>
          <w:tcPr>
            <w:tcW w:w="260" w:type="dxa"/>
            <w:tcBorders>
              <w:top w:val="nil"/>
              <w:left w:val="nil"/>
              <w:bottom w:val="nil"/>
              <w:right w:val="nil"/>
            </w:tcBorders>
            <w:shd w:val="clear" w:color="auto" w:fill="auto"/>
            <w:noWrap/>
            <w:vAlign w:val="center"/>
            <w:hideMark/>
          </w:tcPr>
          <w:p w14:paraId="3824A5B0"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70F521A2" w14:textId="6B9B8D0C" w:rsidR="00226090" w:rsidRPr="00F44825" w:rsidRDefault="00226090" w:rsidP="00226090">
            <w:pPr>
              <w:spacing w:after="0" w:line="240" w:lineRule="auto"/>
              <w:jc w:val="right"/>
              <w:rPr>
                <w:rFonts w:eastAsia="Times New Roman" w:cs="Arial"/>
                <w:color w:val="000000"/>
                <w:lang w:eastAsia="en-GB"/>
              </w:rPr>
            </w:pPr>
            <w:r w:rsidRPr="00005624">
              <w:t>68.0</w:t>
            </w:r>
          </w:p>
        </w:tc>
        <w:tc>
          <w:tcPr>
            <w:tcW w:w="940" w:type="dxa"/>
            <w:tcBorders>
              <w:top w:val="nil"/>
              <w:left w:val="nil"/>
              <w:bottom w:val="nil"/>
              <w:right w:val="nil"/>
            </w:tcBorders>
            <w:shd w:val="clear" w:color="auto" w:fill="auto"/>
            <w:noWrap/>
            <w:vAlign w:val="center"/>
            <w:hideMark/>
          </w:tcPr>
          <w:p w14:paraId="071835BF"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85%</w:t>
            </w:r>
          </w:p>
        </w:tc>
        <w:tc>
          <w:tcPr>
            <w:tcW w:w="940" w:type="dxa"/>
            <w:tcBorders>
              <w:top w:val="nil"/>
              <w:left w:val="nil"/>
              <w:bottom w:val="nil"/>
              <w:right w:val="nil"/>
            </w:tcBorders>
            <w:shd w:val="clear" w:color="auto" w:fill="auto"/>
            <w:noWrap/>
            <w:vAlign w:val="center"/>
            <w:hideMark/>
          </w:tcPr>
          <w:p w14:paraId="46D29775"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15%</w:t>
            </w:r>
          </w:p>
        </w:tc>
      </w:tr>
      <w:tr w:rsidR="00226090" w:rsidRPr="00F44825" w14:paraId="6B3567C6" w14:textId="77777777" w:rsidTr="00226090">
        <w:trPr>
          <w:trHeight w:val="300"/>
        </w:trPr>
        <w:tc>
          <w:tcPr>
            <w:tcW w:w="2778" w:type="dxa"/>
            <w:tcBorders>
              <w:top w:val="nil"/>
              <w:left w:val="nil"/>
              <w:bottom w:val="nil"/>
              <w:right w:val="nil"/>
            </w:tcBorders>
            <w:shd w:val="clear" w:color="auto" w:fill="auto"/>
            <w:vAlign w:val="center"/>
            <w:hideMark/>
          </w:tcPr>
          <w:p w14:paraId="386BA925"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South East</w:t>
            </w:r>
          </w:p>
        </w:tc>
        <w:tc>
          <w:tcPr>
            <w:tcW w:w="940" w:type="dxa"/>
            <w:tcBorders>
              <w:top w:val="nil"/>
              <w:left w:val="nil"/>
              <w:bottom w:val="nil"/>
              <w:right w:val="nil"/>
            </w:tcBorders>
            <w:shd w:val="clear" w:color="auto" w:fill="auto"/>
            <w:vAlign w:val="center"/>
            <w:hideMark/>
          </w:tcPr>
          <w:p w14:paraId="1544D0A7" w14:textId="268E5C25" w:rsidR="00226090" w:rsidRPr="00F44825" w:rsidRDefault="00226090" w:rsidP="00226090">
            <w:pPr>
              <w:spacing w:after="0" w:line="240" w:lineRule="auto"/>
              <w:jc w:val="right"/>
              <w:rPr>
                <w:rFonts w:eastAsia="Times New Roman" w:cs="Arial"/>
                <w:color w:val="000000"/>
                <w:lang w:eastAsia="en-GB"/>
              </w:rPr>
            </w:pPr>
            <w:r w:rsidRPr="00503046">
              <w:t>3.7</w:t>
            </w:r>
          </w:p>
        </w:tc>
        <w:tc>
          <w:tcPr>
            <w:tcW w:w="940" w:type="dxa"/>
            <w:tcBorders>
              <w:top w:val="nil"/>
              <w:left w:val="nil"/>
              <w:bottom w:val="nil"/>
              <w:right w:val="nil"/>
            </w:tcBorders>
            <w:shd w:val="clear" w:color="auto" w:fill="auto"/>
            <w:noWrap/>
            <w:vAlign w:val="center"/>
            <w:hideMark/>
          </w:tcPr>
          <w:p w14:paraId="0C0552D7"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82%</w:t>
            </w:r>
          </w:p>
        </w:tc>
        <w:tc>
          <w:tcPr>
            <w:tcW w:w="940" w:type="dxa"/>
            <w:tcBorders>
              <w:top w:val="nil"/>
              <w:left w:val="nil"/>
              <w:bottom w:val="nil"/>
              <w:right w:val="nil"/>
            </w:tcBorders>
            <w:shd w:val="clear" w:color="auto" w:fill="auto"/>
            <w:noWrap/>
            <w:vAlign w:val="center"/>
            <w:hideMark/>
          </w:tcPr>
          <w:p w14:paraId="4347B01D"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18%</w:t>
            </w:r>
          </w:p>
        </w:tc>
        <w:tc>
          <w:tcPr>
            <w:tcW w:w="260" w:type="dxa"/>
            <w:tcBorders>
              <w:top w:val="nil"/>
              <w:left w:val="nil"/>
              <w:bottom w:val="nil"/>
              <w:right w:val="nil"/>
            </w:tcBorders>
            <w:shd w:val="clear" w:color="auto" w:fill="auto"/>
            <w:noWrap/>
            <w:vAlign w:val="center"/>
            <w:hideMark/>
          </w:tcPr>
          <w:p w14:paraId="303C103E"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0B47EDD9" w14:textId="250BA4D8" w:rsidR="00226090" w:rsidRPr="00F44825" w:rsidRDefault="00226090" w:rsidP="00226090">
            <w:pPr>
              <w:spacing w:after="0" w:line="240" w:lineRule="auto"/>
              <w:jc w:val="right"/>
              <w:rPr>
                <w:rFonts w:eastAsia="Times New Roman" w:cs="Arial"/>
                <w:color w:val="000000"/>
                <w:lang w:eastAsia="en-GB"/>
              </w:rPr>
            </w:pPr>
            <w:r w:rsidRPr="00005624">
              <w:t>94.4</w:t>
            </w:r>
          </w:p>
        </w:tc>
        <w:tc>
          <w:tcPr>
            <w:tcW w:w="940" w:type="dxa"/>
            <w:tcBorders>
              <w:top w:val="nil"/>
              <w:left w:val="nil"/>
              <w:bottom w:val="nil"/>
              <w:right w:val="nil"/>
            </w:tcBorders>
            <w:shd w:val="clear" w:color="auto" w:fill="auto"/>
            <w:noWrap/>
            <w:vAlign w:val="center"/>
            <w:hideMark/>
          </w:tcPr>
          <w:p w14:paraId="617C50B5"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85%</w:t>
            </w:r>
          </w:p>
        </w:tc>
        <w:tc>
          <w:tcPr>
            <w:tcW w:w="940" w:type="dxa"/>
            <w:tcBorders>
              <w:top w:val="nil"/>
              <w:left w:val="nil"/>
              <w:bottom w:val="nil"/>
              <w:right w:val="nil"/>
            </w:tcBorders>
            <w:shd w:val="clear" w:color="auto" w:fill="auto"/>
            <w:noWrap/>
            <w:vAlign w:val="center"/>
            <w:hideMark/>
          </w:tcPr>
          <w:p w14:paraId="79311667"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15%</w:t>
            </w:r>
          </w:p>
        </w:tc>
      </w:tr>
      <w:tr w:rsidR="00226090" w:rsidRPr="00F44825" w14:paraId="09359950" w14:textId="77777777" w:rsidTr="00226090">
        <w:trPr>
          <w:trHeight w:val="300"/>
        </w:trPr>
        <w:tc>
          <w:tcPr>
            <w:tcW w:w="2778" w:type="dxa"/>
            <w:tcBorders>
              <w:top w:val="nil"/>
              <w:left w:val="nil"/>
              <w:bottom w:val="nil"/>
              <w:right w:val="nil"/>
            </w:tcBorders>
            <w:shd w:val="clear" w:color="auto" w:fill="auto"/>
            <w:vAlign w:val="center"/>
            <w:hideMark/>
          </w:tcPr>
          <w:p w14:paraId="7ADB0898"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North West</w:t>
            </w:r>
          </w:p>
        </w:tc>
        <w:tc>
          <w:tcPr>
            <w:tcW w:w="940" w:type="dxa"/>
            <w:tcBorders>
              <w:top w:val="nil"/>
              <w:left w:val="nil"/>
              <w:bottom w:val="nil"/>
              <w:right w:val="nil"/>
            </w:tcBorders>
            <w:shd w:val="clear" w:color="auto" w:fill="auto"/>
            <w:vAlign w:val="center"/>
            <w:hideMark/>
          </w:tcPr>
          <w:p w14:paraId="3FE59E30" w14:textId="2F260C73" w:rsidR="00226090" w:rsidRPr="00F44825" w:rsidRDefault="00226090" w:rsidP="00226090">
            <w:pPr>
              <w:spacing w:after="0" w:line="240" w:lineRule="auto"/>
              <w:jc w:val="right"/>
              <w:rPr>
                <w:rFonts w:eastAsia="Times New Roman" w:cs="Arial"/>
                <w:color w:val="000000"/>
                <w:lang w:eastAsia="en-GB"/>
              </w:rPr>
            </w:pPr>
            <w:r w:rsidRPr="00503046">
              <w:t>9.1</w:t>
            </w:r>
          </w:p>
        </w:tc>
        <w:tc>
          <w:tcPr>
            <w:tcW w:w="940" w:type="dxa"/>
            <w:tcBorders>
              <w:top w:val="nil"/>
              <w:left w:val="nil"/>
              <w:bottom w:val="nil"/>
              <w:right w:val="nil"/>
            </w:tcBorders>
            <w:shd w:val="clear" w:color="auto" w:fill="auto"/>
            <w:noWrap/>
            <w:vAlign w:val="center"/>
            <w:hideMark/>
          </w:tcPr>
          <w:p w14:paraId="66F271B9"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80%</w:t>
            </w:r>
          </w:p>
        </w:tc>
        <w:tc>
          <w:tcPr>
            <w:tcW w:w="940" w:type="dxa"/>
            <w:tcBorders>
              <w:top w:val="nil"/>
              <w:left w:val="nil"/>
              <w:bottom w:val="nil"/>
              <w:right w:val="nil"/>
            </w:tcBorders>
            <w:shd w:val="clear" w:color="auto" w:fill="auto"/>
            <w:noWrap/>
            <w:vAlign w:val="center"/>
            <w:hideMark/>
          </w:tcPr>
          <w:p w14:paraId="7E01C1AF"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20%</w:t>
            </w:r>
          </w:p>
        </w:tc>
        <w:tc>
          <w:tcPr>
            <w:tcW w:w="260" w:type="dxa"/>
            <w:tcBorders>
              <w:top w:val="nil"/>
              <w:left w:val="nil"/>
              <w:bottom w:val="nil"/>
              <w:right w:val="nil"/>
            </w:tcBorders>
            <w:shd w:val="clear" w:color="auto" w:fill="auto"/>
            <w:noWrap/>
            <w:vAlign w:val="center"/>
            <w:hideMark/>
          </w:tcPr>
          <w:p w14:paraId="247063F7"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06B7CB48" w14:textId="36705986" w:rsidR="00226090" w:rsidRPr="00F44825" w:rsidRDefault="00226090" w:rsidP="00226090">
            <w:pPr>
              <w:spacing w:after="0" w:line="240" w:lineRule="auto"/>
              <w:jc w:val="right"/>
              <w:rPr>
                <w:rFonts w:eastAsia="Times New Roman" w:cs="Arial"/>
                <w:color w:val="000000"/>
                <w:lang w:eastAsia="en-GB"/>
              </w:rPr>
            </w:pPr>
            <w:r w:rsidRPr="00005624">
              <w:t>83.8</w:t>
            </w:r>
          </w:p>
        </w:tc>
        <w:tc>
          <w:tcPr>
            <w:tcW w:w="940" w:type="dxa"/>
            <w:tcBorders>
              <w:top w:val="nil"/>
              <w:left w:val="nil"/>
              <w:bottom w:val="nil"/>
              <w:right w:val="nil"/>
            </w:tcBorders>
            <w:shd w:val="clear" w:color="auto" w:fill="auto"/>
            <w:noWrap/>
            <w:vAlign w:val="center"/>
            <w:hideMark/>
          </w:tcPr>
          <w:p w14:paraId="53FE46BF"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87%</w:t>
            </w:r>
          </w:p>
        </w:tc>
        <w:tc>
          <w:tcPr>
            <w:tcW w:w="940" w:type="dxa"/>
            <w:tcBorders>
              <w:top w:val="nil"/>
              <w:left w:val="nil"/>
              <w:bottom w:val="nil"/>
              <w:right w:val="nil"/>
            </w:tcBorders>
            <w:shd w:val="clear" w:color="auto" w:fill="auto"/>
            <w:noWrap/>
            <w:vAlign w:val="center"/>
            <w:hideMark/>
          </w:tcPr>
          <w:p w14:paraId="5CECF310"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13%</w:t>
            </w:r>
          </w:p>
        </w:tc>
      </w:tr>
      <w:tr w:rsidR="00226090" w:rsidRPr="00F44825" w14:paraId="4EB76ECC" w14:textId="77777777" w:rsidTr="00226090">
        <w:trPr>
          <w:trHeight w:val="300"/>
        </w:trPr>
        <w:tc>
          <w:tcPr>
            <w:tcW w:w="2778" w:type="dxa"/>
            <w:tcBorders>
              <w:top w:val="nil"/>
              <w:left w:val="nil"/>
              <w:bottom w:val="nil"/>
              <w:right w:val="nil"/>
            </w:tcBorders>
            <w:shd w:val="clear" w:color="auto" w:fill="auto"/>
            <w:vAlign w:val="center"/>
            <w:hideMark/>
          </w:tcPr>
          <w:p w14:paraId="68474623"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East Midlands</w:t>
            </w:r>
          </w:p>
        </w:tc>
        <w:tc>
          <w:tcPr>
            <w:tcW w:w="940" w:type="dxa"/>
            <w:tcBorders>
              <w:top w:val="nil"/>
              <w:left w:val="nil"/>
              <w:bottom w:val="nil"/>
              <w:right w:val="nil"/>
            </w:tcBorders>
            <w:shd w:val="clear" w:color="auto" w:fill="auto"/>
            <w:vAlign w:val="center"/>
            <w:hideMark/>
          </w:tcPr>
          <w:p w14:paraId="115A8FC6" w14:textId="7BE5CC53" w:rsidR="00226090" w:rsidRPr="00F44825" w:rsidRDefault="00226090" w:rsidP="00226090">
            <w:pPr>
              <w:spacing w:after="0" w:line="240" w:lineRule="auto"/>
              <w:jc w:val="right"/>
              <w:rPr>
                <w:rFonts w:eastAsia="Times New Roman" w:cs="Arial"/>
                <w:color w:val="000000"/>
                <w:lang w:eastAsia="en-GB"/>
              </w:rPr>
            </w:pPr>
            <w:r w:rsidRPr="00503046">
              <w:t>3.0</w:t>
            </w:r>
          </w:p>
        </w:tc>
        <w:tc>
          <w:tcPr>
            <w:tcW w:w="940" w:type="dxa"/>
            <w:tcBorders>
              <w:top w:val="nil"/>
              <w:left w:val="nil"/>
              <w:bottom w:val="nil"/>
              <w:right w:val="nil"/>
            </w:tcBorders>
            <w:shd w:val="clear" w:color="auto" w:fill="auto"/>
            <w:noWrap/>
            <w:vAlign w:val="center"/>
            <w:hideMark/>
          </w:tcPr>
          <w:p w14:paraId="5A4A5759"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79%</w:t>
            </w:r>
          </w:p>
        </w:tc>
        <w:tc>
          <w:tcPr>
            <w:tcW w:w="940" w:type="dxa"/>
            <w:tcBorders>
              <w:top w:val="nil"/>
              <w:left w:val="nil"/>
              <w:bottom w:val="nil"/>
              <w:right w:val="nil"/>
            </w:tcBorders>
            <w:shd w:val="clear" w:color="auto" w:fill="auto"/>
            <w:noWrap/>
            <w:vAlign w:val="center"/>
            <w:hideMark/>
          </w:tcPr>
          <w:p w14:paraId="7105E8EA"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21%</w:t>
            </w:r>
          </w:p>
        </w:tc>
        <w:tc>
          <w:tcPr>
            <w:tcW w:w="260" w:type="dxa"/>
            <w:tcBorders>
              <w:top w:val="nil"/>
              <w:left w:val="nil"/>
              <w:bottom w:val="nil"/>
              <w:right w:val="nil"/>
            </w:tcBorders>
            <w:shd w:val="clear" w:color="auto" w:fill="auto"/>
            <w:noWrap/>
            <w:vAlign w:val="center"/>
            <w:hideMark/>
          </w:tcPr>
          <w:p w14:paraId="0AC55551"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4F66C517" w14:textId="71222DCE" w:rsidR="00226090" w:rsidRPr="00F44825" w:rsidRDefault="00226090" w:rsidP="00226090">
            <w:pPr>
              <w:spacing w:after="0" w:line="240" w:lineRule="auto"/>
              <w:jc w:val="right"/>
              <w:rPr>
                <w:rFonts w:eastAsia="Times New Roman" w:cs="Arial"/>
                <w:color w:val="000000"/>
                <w:lang w:eastAsia="en-GB"/>
              </w:rPr>
            </w:pPr>
            <w:r w:rsidRPr="00005624">
              <w:t>52.4</w:t>
            </w:r>
          </w:p>
        </w:tc>
        <w:tc>
          <w:tcPr>
            <w:tcW w:w="940" w:type="dxa"/>
            <w:tcBorders>
              <w:top w:val="nil"/>
              <w:left w:val="nil"/>
              <w:bottom w:val="nil"/>
              <w:right w:val="nil"/>
            </w:tcBorders>
            <w:shd w:val="clear" w:color="auto" w:fill="auto"/>
            <w:noWrap/>
            <w:vAlign w:val="center"/>
            <w:hideMark/>
          </w:tcPr>
          <w:p w14:paraId="34A3D3D4"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85%</w:t>
            </w:r>
          </w:p>
        </w:tc>
        <w:tc>
          <w:tcPr>
            <w:tcW w:w="940" w:type="dxa"/>
            <w:tcBorders>
              <w:top w:val="nil"/>
              <w:left w:val="nil"/>
              <w:bottom w:val="nil"/>
              <w:right w:val="nil"/>
            </w:tcBorders>
            <w:shd w:val="clear" w:color="auto" w:fill="auto"/>
            <w:noWrap/>
            <w:vAlign w:val="center"/>
            <w:hideMark/>
          </w:tcPr>
          <w:p w14:paraId="0C024901"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15%</w:t>
            </w:r>
          </w:p>
        </w:tc>
      </w:tr>
      <w:tr w:rsidR="00226090" w:rsidRPr="00F44825" w14:paraId="5D7EED3A" w14:textId="77777777" w:rsidTr="00226090">
        <w:trPr>
          <w:trHeight w:val="300"/>
        </w:trPr>
        <w:tc>
          <w:tcPr>
            <w:tcW w:w="2778" w:type="dxa"/>
            <w:tcBorders>
              <w:top w:val="nil"/>
              <w:left w:val="nil"/>
              <w:bottom w:val="nil"/>
              <w:right w:val="nil"/>
            </w:tcBorders>
            <w:shd w:val="clear" w:color="auto" w:fill="auto"/>
            <w:vAlign w:val="center"/>
            <w:hideMark/>
          </w:tcPr>
          <w:p w14:paraId="6E22743A"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Yorkshire and the Humber</w:t>
            </w:r>
          </w:p>
        </w:tc>
        <w:tc>
          <w:tcPr>
            <w:tcW w:w="940" w:type="dxa"/>
            <w:tcBorders>
              <w:top w:val="nil"/>
              <w:left w:val="nil"/>
              <w:bottom w:val="nil"/>
              <w:right w:val="nil"/>
            </w:tcBorders>
            <w:shd w:val="clear" w:color="auto" w:fill="auto"/>
            <w:vAlign w:val="center"/>
            <w:hideMark/>
          </w:tcPr>
          <w:p w14:paraId="3AD1D965" w14:textId="5E2C435B" w:rsidR="00226090" w:rsidRPr="00F44825" w:rsidRDefault="00226090" w:rsidP="00226090">
            <w:pPr>
              <w:spacing w:after="0" w:line="240" w:lineRule="auto"/>
              <w:jc w:val="right"/>
              <w:rPr>
                <w:rFonts w:eastAsia="Times New Roman" w:cs="Arial"/>
                <w:color w:val="000000"/>
                <w:lang w:eastAsia="en-GB"/>
              </w:rPr>
            </w:pPr>
            <w:r w:rsidRPr="00503046">
              <w:t>5.3</w:t>
            </w:r>
          </w:p>
        </w:tc>
        <w:tc>
          <w:tcPr>
            <w:tcW w:w="940" w:type="dxa"/>
            <w:tcBorders>
              <w:top w:val="nil"/>
              <w:left w:val="nil"/>
              <w:bottom w:val="nil"/>
              <w:right w:val="nil"/>
            </w:tcBorders>
            <w:shd w:val="clear" w:color="auto" w:fill="auto"/>
            <w:noWrap/>
            <w:vAlign w:val="center"/>
            <w:hideMark/>
          </w:tcPr>
          <w:p w14:paraId="1F8DC924"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73%</w:t>
            </w:r>
          </w:p>
        </w:tc>
        <w:tc>
          <w:tcPr>
            <w:tcW w:w="940" w:type="dxa"/>
            <w:tcBorders>
              <w:top w:val="nil"/>
              <w:left w:val="nil"/>
              <w:bottom w:val="nil"/>
              <w:right w:val="nil"/>
            </w:tcBorders>
            <w:shd w:val="clear" w:color="auto" w:fill="auto"/>
            <w:noWrap/>
            <w:vAlign w:val="center"/>
            <w:hideMark/>
          </w:tcPr>
          <w:p w14:paraId="1D6A2E91"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27%</w:t>
            </w:r>
          </w:p>
        </w:tc>
        <w:tc>
          <w:tcPr>
            <w:tcW w:w="260" w:type="dxa"/>
            <w:tcBorders>
              <w:top w:val="nil"/>
              <w:left w:val="nil"/>
              <w:bottom w:val="nil"/>
              <w:right w:val="nil"/>
            </w:tcBorders>
            <w:shd w:val="clear" w:color="auto" w:fill="auto"/>
            <w:noWrap/>
            <w:vAlign w:val="center"/>
            <w:hideMark/>
          </w:tcPr>
          <w:p w14:paraId="0D8924E7"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61597C8B" w14:textId="1B7AB399" w:rsidR="00226090" w:rsidRPr="00F44825" w:rsidRDefault="00226090" w:rsidP="00226090">
            <w:pPr>
              <w:spacing w:after="0" w:line="240" w:lineRule="auto"/>
              <w:jc w:val="right"/>
              <w:rPr>
                <w:rFonts w:eastAsia="Times New Roman" w:cs="Arial"/>
                <w:color w:val="000000"/>
                <w:lang w:eastAsia="en-GB"/>
              </w:rPr>
            </w:pPr>
            <w:r w:rsidRPr="00005624">
              <w:t>61.0</w:t>
            </w:r>
          </w:p>
        </w:tc>
        <w:tc>
          <w:tcPr>
            <w:tcW w:w="940" w:type="dxa"/>
            <w:tcBorders>
              <w:top w:val="nil"/>
              <w:left w:val="nil"/>
              <w:bottom w:val="nil"/>
              <w:right w:val="nil"/>
            </w:tcBorders>
            <w:shd w:val="clear" w:color="auto" w:fill="auto"/>
            <w:noWrap/>
            <w:vAlign w:val="center"/>
            <w:hideMark/>
          </w:tcPr>
          <w:p w14:paraId="410BDD67"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84%</w:t>
            </w:r>
          </w:p>
        </w:tc>
        <w:tc>
          <w:tcPr>
            <w:tcW w:w="940" w:type="dxa"/>
            <w:tcBorders>
              <w:top w:val="nil"/>
              <w:left w:val="nil"/>
              <w:bottom w:val="nil"/>
              <w:right w:val="nil"/>
            </w:tcBorders>
            <w:shd w:val="clear" w:color="auto" w:fill="auto"/>
            <w:noWrap/>
            <w:vAlign w:val="center"/>
            <w:hideMark/>
          </w:tcPr>
          <w:p w14:paraId="7F398A63"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16%</w:t>
            </w:r>
          </w:p>
        </w:tc>
      </w:tr>
      <w:tr w:rsidR="00226090" w:rsidRPr="00F44825" w14:paraId="2460D495" w14:textId="77777777" w:rsidTr="00226090">
        <w:trPr>
          <w:trHeight w:val="300"/>
        </w:trPr>
        <w:tc>
          <w:tcPr>
            <w:tcW w:w="2778" w:type="dxa"/>
            <w:tcBorders>
              <w:top w:val="nil"/>
              <w:left w:val="nil"/>
              <w:bottom w:val="nil"/>
              <w:right w:val="nil"/>
            </w:tcBorders>
            <w:shd w:val="clear" w:color="auto" w:fill="auto"/>
            <w:vAlign w:val="center"/>
            <w:hideMark/>
          </w:tcPr>
          <w:p w14:paraId="695FAE3F"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West Midlands</w:t>
            </w:r>
          </w:p>
        </w:tc>
        <w:tc>
          <w:tcPr>
            <w:tcW w:w="940" w:type="dxa"/>
            <w:tcBorders>
              <w:top w:val="nil"/>
              <w:left w:val="nil"/>
              <w:bottom w:val="nil"/>
              <w:right w:val="nil"/>
            </w:tcBorders>
            <w:shd w:val="clear" w:color="auto" w:fill="auto"/>
            <w:vAlign w:val="center"/>
            <w:hideMark/>
          </w:tcPr>
          <w:p w14:paraId="16ACA179" w14:textId="7D6B105A" w:rsidR="00226090" w:rsidRPr="00F44825" w:rsidRDefault="00226090" w:rsidP="00226090">
            <w:pPr>
              <w:spacing w:after="0" w:line="240" w:lineRule="auto"/>
              <w:jc w:val="right"/>
              <w:rPr>
                <w:rFonts w:eastAsia="Times New Roman" w:cs="Arial"/>
                <w:color w:val="000000"/>
                <w:lang w:eastAsia="en-GB"/>
              </w:rPr>
            </w:pPr>
            <w:r w:rsidRPr="00503046">
              <w:t>6.6</w:t>
            </w:r>
          </w:p>
        </w:tc>
        <w:tc>
          <w:tcPr>
            <w:tcW w:w="940" w:type="dxa"/>
            <w:tcBorders>
              <w:top w:val="nil"/>
              <w:left w:val="nil"/>
              <w:bottom w:val="nil"/>
              <w:right w:val="nil"/>
            </w:tcBorders>
            <w:shd w:val="clear" w:color="auto" w:fill="auto"/>
            <w:noWrap/>
            <w:vAlign w:val="center"/>
            <w:hideMark/>
          </w:tcPr>
          <w:p w14:paraId="77BB58B9"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63%</w:t>
            </w:r>
          </w:p>
        </w:tc>
        <w:tc>
          <w:tcPr>
            <w:tcW w:w="940" w:type="dxa"/>
            <w:tcBorders>
              <w:top w:val="nil"/>
              <w:left w:val="nil"/>
              <w:bottom w:val="nil"/>
              <w:right w:val="nil"/>
            </w:tcBorders>
            <w:shd w:val="clear" w:color="auto" w:fill="auto"/>
            <w:noWrap/>
            <w:vAlign w:val="center"/>
            <w:hideMark/>
          </w:tcPr>
          <w:p w14:paraId="6947B321"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37%</w:t>
            </w:r>
          </w:p>
        </w:tc>
        <w:tc>
          <w:tcPr>
            <w:tcW w:w="260" w:type="dxa"/>
            <w:tcBorders>
              <w:top w:val="nil"/>
              <w:left w:val="nil"/>
              <w:bottom w:val="nil"/>
              <w:right w:val="nil"/>
            </w:tcBorders>
            <w:shd w:val="clear" w:color="auto" w:fill="auto"/>
            <w:noWrap/>
            <w:vAlign w:val="center"/>
            <w:hideMark/>
          </w:tcPr>
          <w:p w14:paraId="7EAFF7FD"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3FC9A08B" w14:textId="780DB17D" w:rsidR="00226090" w:rsidRPr="00F44825" w:rsidRDefault="00226090" w:rsidP="00226090">
            <w:pPr>
              <w:spacing w:after="0" w:line="240" w:lineRule="auto"/>
              <w:jc w:val="right"/>
              <w:rPr>
                <w:rFonts w:eastAsia="Times New Roman" w:cs="Arial"/>
                <w:color w:val="000000"/>
                <w:lang w:eastAsia="en-GB"/>
              </w:rPr>
            </w:pPr>
            <w:r w:rsidRPr="00005624">
              <w:t>67.9</w:t>
            </w:r>
          </w:p>
        </w:tc>
        <w:tc>
          <w:tcPr>
            <w:tcW w:w="940" w:type="dxa"/>
            <w:tcBorders>
              <w:top w:val="nil"/>
              <w:left w:val="nil"/>
              <w:bottom w:val="nil"/>
              <w:right w:val="nil"/>
            </w:tcBorders>
            <w:shd w:val="clear" w:color="auto" w:fill="auto"/>
            <w:noWrap/>
            <w:vAlign w:val="center"/>
            <w:hideMark/>
          </w:tcPr>
          <w:p w14:paraId="3520C33F"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79%</w:t>
            </w:r>
          </w:p>
        </w:tc>
        <w:tc>
          <w:tcPr>
            <w:tcW w:w="940" w:type="dxa"/>
            <w:tcBorders>
              <w:top w:val="nil"/>
              <w:left w:val="nil"/>
              <w:bottom w:val="nil"/>
              <w:right w:val="nil"/>
            </w:tcBorders>
            <w:shd w:val="clear" w:color="auto" w:fill="auto"/>
            <w:noWrap/>
            <w:vAlign w:val="center"/>
            <w:hideMark/>
          </w:tcPr>
          <w:p w14:paraId="44EF1E0E"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21%</w:t>
            </w:r>
          </w:p>
        </w:tc>
      </w:tr>
      <w:tr w:rsidR="00226090" w:rsidRPr="00F44825" w14:paraId="1B57A4D4" w14:textId="77777777" w:rsidTr="00226090">
        <w:trPr>
          <w:trHeight w:val="300"/>
        </w:trPr>
        <w:tc>
          <w:tcPr>
            <w:tcW w:w="2778" w:type="dxa"/>
            <w:tcBorders>
              <w:top w:val="nil"/>
              <w:left w:val="nil"/>
              <w:bottom w:val="nil"/>
              <w:right w:val="nil"/>
            </w:tcBorders>
            <w:shd w:val="clear" w:color="auto" w:fill="auto"/>
            <w:vAlign w:val="center"/>
            <w:hideMark/>
          </w:tcPr>
          <w:p w14:paraId="31C81546" w14:textId="77777777" w:rsidR="00226090" w:rsidRPr="00F44825" w:rsidRDefault="00226090" w:rsidP="00226090">
            <w:pPr>
              <w:spacing w:after="0" w:line="240" w:lineRule="auto"/>
              <w:rPr>
                <w:rFonts w:eastAsia="Times New Roman" w:cs="Arial"/>
                <w:color w:val="000000"/>
                <w:lang w:eastAsia="en-GB"/>
              </w:rPr>
            </w:pPr>
            <w:r w:rsidRPr="00F44825">
              <w:rPr>
                <w:rFonts w:eastAsia="Times New Roman" w:cs="Arial"/>
                <w:color w:val="000000"/>
                <w:lang w:eastAsia="en-GB"/>
              </w:rPr>
              <w:t>London</w:t>
            </w:r>
          </w:p>
        </w:tc>
        <w:tc>
          <w:tcPr>
            <w:tcW w:w="940" w:type="dxa"/>
            <w:tcBorders>
              <w:top w:val="nil"/>
              <w:left w:val="nil"/>
              <w:bottom w:val="nil"/>
              <w:right w:val="nil"/>
            </w:tcBorders>
            <w:shd w:val="clear" w:color="auto" w:fill="auto"/>
            <w:vAlign w:val="center"/>
            <w:hideMark/>
          </w:tcPr>
          <w:p w14:paraId="63E4DA4C" w14:textId="56A2BEE3" w:rsidR="00226090" w:rsidRPr="00F44825" w:rsidRDefault="00226090" w:rsidP="00226090">
            <w:pPr>
              <w:spacing w:after="0" w:line="240" w:lineRule="auto"/>
              <w:jc w:val="right"/>
              <w:rPr>
                <w:rFonts w:eastAsia="Times New Roman" w:cs="Arial"/>
                <w:color w:val="000000"/>
                <w:lang w:eastAsia="en-GB"/>
              </w:rPr>
            </w:pPr>
            <w:r w:rsidRPr="00503046">
              <w:t>12.4</w:t>
            </w:r>
          </w:p>
        </w:tc>
        <w:tc>
          <w:tcPr>
            <w:tcW w:w="940" w:type="dxa"/>
            <w:tcBorders>
              <w:top w:val="nil"/>
              <w:left w:val="nil"/>
              <w:bottom w:val="nil"/>
              <w:right w:val="nil"/>
            </w:tcBorders>
            <w:shd w:val="clear" w:color="auto" w:fill="auto"/>
            <w:noWrap/>
            <w:vAlign w:val="center"/>
            <w:hideMark/>
          </w:tcPr>
          <w:p w14:paraId="5D977478"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33%</w:t>
            </w:r>
          </w:p>
        </w:tc>
        <w:tc>
          <w:tcPr>
            <w:tcW w:w="940" w:type="dxa"/>
            <w:tcBorders>
              <w:top w:val="nil"/>
              <w:left w:val="nil"/>
              <w:bottom w:val="nil"/>
              <w:right w:val="nil"/>
            </w:tcBorders>
            <w:shd w:val="clear" w:color="auto" w:fill="auto"/>
            <w:noWrap/>
            <w:vAlign w:val="center"/>
            <w:hideMark/>
          </w:tcPr>
          <w:p w14:paraId="165BF7CA"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67%</w:t>
            </w:r>
          </w:p>
        </w:tc>
        <w:tc>
          <w:tcPr>
            <w:tcW w:w="260" w:type="dxa"/>
            <w:tcBorders>
              <w:top w:val="nil"/>
              <w:left w:val="nil"/>
              <w:bottom w:val="nil"/>
              <w:right w:val="nil"/>
            </w:tcBorders>
            <w:shd w:val="clear" w:color="auto" w:fill="auto"/>
            <w:noWrap/>
            <w:vAlign w:val="center"/>
            <w:hideMark/>
          </w:tcPr>
          <w:p w14:paraId="613DABD7" w14:textId="77777777" w:rsidR="00226090" w:rsidRPr="00F44825" w:rsidRDefault="00226090" w:rsidP="00226090">
            <w:pPr>
              <w:spacing w:after="0" w:line="240" w:lineRule="auto"/>
              <w:jc w:val="right"/>
              <w:rPr>
                <w:rFonts w:eastAsia="Times New Roman" w:cs="Arial"/>
                <w:color w:val="000000"/>
                <w:lang w:eastAsia="en-GB"/>
              </w:rPr>
            </w:pPr>
          </w:p>
        </w:tc>
        <w:tc>
          <w:tcPr>
            <w:tcW w:w="940" w:type="dxa"/>
            <w:tcBorders>
              <w:top w:val="nil"/>
              <w:left w:val="nil"/>
              <w:bottom w:val="nil"/>
              <w:right w:val="nil"/>
            </w:tcBorders>
            <w:shd w:val="clear" w:color="auto" w:fill="auto"/>
            <w:vAlign w:val="center"/>
            <w:hideMark/>
          </w:tcPr>
          <w:p w14:paraId="15F63E6F" w14:textId="16D7B7DC" w:rsidR="00226090" w:rsidRPr="00F44825" w:rsidRDefault="00226090" w:rsidP="00226090">
            <w:pPr>
              <w:spacing w:after="0" w:line="240" w:lineRule="auto"/>
              <w:jc w:val="right"/>
              <w:rPr>
                <w:rFonts w:eastAsia="Times New Roman" w:cs="Arial"/>
                <w:color w:val="000000"/>
                <w:lang w:eastAsia="en-GB"/>
              </w:rPr>
            </w:pPr>
            <w:r w:rsidRPr="00005624">
              <w:t>83.2</w:t>
            </w:r>
          </w:p>
        </w:tc>
        <w:tc>
          <w:tcPr>
            <w:tcW w:w="940" w:type="dxa"/>
            <w:tcBorders>
              <w:top w:val="nil"/>
              <w:left w:val="nil"/>
              <w:bottom w:val="nil"/>
              <w:right w:val="nil"/>
            </w:tcBorders>
            <w:shd w:val="clear" w:color="auto" w:fill="auto"/>
            <w:noWrap/>
            <w:vAlign w:val="center"/>
            <w:hideMark/>
          </w:tcPr>
          <w:p w14:paraId="22C5EE4F"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46%</w:t>
            </w:r>
          </w:p>
        </w:tc>
        <w:tc>
          <w:tcPr>
            <w:tcW w:w="940" w:type="dxa"/>
            <w:tcBorders>
              <w:top w:val="nil"/>
              <w:left w:val="nil"/>
              <w:bottom w:val="nil"/>
              <w:right w:val="nil"/>
            </w:tcBorders>
            <w:shd w:val="clear" w:color="auto" w:fill="auto"/>
            <w:noWrap/>
            <w:vAlign w:val="center"/>
            <w:hideMark/>
          </w:tcPr>
          <w:p w14:paraId="1E541934" w14:textId="77777777" w:rsidR="00226090" w:rsidRPr="00F44825" w:rsidRDefault="00226090" w:rsidP="00226090">
            <w:pPr>
              <w:spacing w:after="0" w:line="240" w:lineRule="auto"/>
              <w:jc w:val="right"/>
              <w:rPr>
                <w:rFonts w:eastAsia="Times New Roman" w:cs="Arial"/>
                <w:color w:val="000000"/>
                <w:lang w:eastAsia="en-GB"/>
              </w:rPr>
            </w:pPr>
            <w:r w:rsidRPr="00F44825">
              <w:rPr>
                <w:rFonts w:eastAsia="Times New Roman" w:cs="Arial"/>
                <w:color w:val="000000"/>
                <w:lang w:eastAsia="en-GB"/>
              </w:rPr>
              <w:t>54%</w:t>
            </w:r>
          </w:p>
        </w:tc>
      </w:tr>
    </w:tbl>
    <w:p w14:paraId="50FD1878" w14:textId="7A2863ED" w:rsidR="00310702" w:rsidRDefault="00310702" w:rsidP="00F213A3"/>
    <w:p w14:paraId="7A8E7C45" w14:textId="326C5341" w:rsidR="004F155C" w:rsidRDefault="004F155C" w:rsidP="004F155C">
      <w:pPr>
        <w:pStyle w:val="Heading4"/>
      </w:pPr>
      <w:r>
        <w:t>Outcomes for long-term disadvantaged individuals by region and ethnic group</w:t>
      </w:r>
    </w:p>
    <w:p w14:paraId="4898FC17" w14:textId="01CF9BB6" w:rsidR="008F2AC7" w:rsidRDefault="004560CA" w:rsidP="00F213A3">
      <w:r>
        <w:fldChar w:fldCharType="begin"/>
      </w:r>
      <w:r>
        <w:instrText xml:space="preserve"> REF _Ref116555990 \h </w:instrText>
      </w:r>
      <w:r>
        <w:fldChar w:fldCharType="separate"/>
      </w:r>
      <w:r>
        <w:t xml:space="preserve">Figure </w:t>
      </w:r>
      <w:r>
        <w:rPr>
          <w:noProof/>
        </w:rPr>
        <w:t>14</w:t>
      </w:r>
      <w:r>
        <w:fldChar w:fldCharType="end"/>
      </w:r>
      <w:r>
        <w:t xml:space="preserve"> shows key outcomes for long-term disadvantaged individuals broken down by region and high/low-impact ethnicity grouping.</w:t>
      </w:r>
      <w:r w:rsidR="005D0C22">
        <w:t xml:space="preserve"> </w:t>
      </w:r>
      <w:r w:rsidR="00B10AF1">
        <w:t>Overall, when we look at outcomes separately for those from high- and low-impact ethnic backgrounds, the regions are much more similar than when we look at outcomes for the long-term disadvantaged group as a whole.</w:t>
      </w:r>
    </w:p>
    <w:p w14:paraId="3F7811C7" w14:textId="2AC69C11" w:rsidR="00393399" w:rsidRDefault="00B10AF1" w:rsidP="00F213A3">
      <w:r>
        <w:fldChar w:fldCharType="begin"/>
      </w:r>
      <w:r>
        <w:instrText xml:space="preserve"> REF _Ref116555990 \h </w:instrText>
      </w:r>
      <w:r>
        <w:fldChar w:fldCharType="separate"/>
      </w:r>
      <w:r>
        <w:t xml:space="preserve">Figure </w:t>
      </w:r>
      <w:r>
        <w:rPr>
          <w:noProof/>
        </w:rPr>
        <w:t>14</w:t>
      </w:r>
      <w:r>
        <w:fldChar w:fldCharType="end"/>
      </w:r>
      <w:r>
        <w:t xml:space="preserve">b) shows that long-term disadvantaged individuals from London </w:t>
      </w:r>
      <w:r w:rsidR="00BD05E5">
        <w:t>had the highest qualification rates, being</w:t>
      </w:r>
      <w:r>
        <w:t xml:space="preserve"> around 50% more likely to achieve qualifications at Level 3 or above compared with </w:t>
      </w:r>
      <w:r w:rsidR="00BD05E5">
        <w:t>the second highest region</w:t>
      </w:r>
      <w:r>
        <w:t xml:space="preserve"> (54% in London vs 36% in the West Midlands). </w:t>
      </w:r>
      <w:r w:rsidR="00393399">
        <w:t>Those from h</w:t>
      </w:r>
      <w:r>
        <w:t xml:space="preserve">igh-impact </w:t>
      </w:r>
      <w:r w:rsidR="00393399">
        <w:t>ethnic backgrounds living in London</w:t>
      </w:r>
      <w:r>
        <w:t xml:space="preserve"> had </w:t>
      </w:r>
      <w:r w:rsidR="00393399">
        <w:t>better qualification rates than those living elsewhere</w:t>
      </w:r>
      <w:r>
        <w:t xml:space="preserve">, but they were only 16% more likely to achieve level 3 qualifications than those in </w:t>
      </w:r>
      <w:r w:rsidR="00BD05E5">
        <w:t>second highest region</w:t>
      </w:r>
      <w:r>
        <w:t xml:space="preserve"> (32% in London vs 28% in the North West).</w:t>
      </w:r>
      <w:r w:rsidR="00393399">
        <w:t xml:space="preserve"> Similarly, those from low-impact ethnic backgrounds living in London had better qualification rates than those living elsewhere, but only 14% better than the second</w:t>
      </w:r>
      <w:r w:rsidR="00BD05E5">
        <w:t xml:space="preserve"> highest</w:t>
      </w:r>
      <w:r w:rsidR="00393399">
        <w:t xml:space="preserve"> region.</w:t>
      </w:r>
    </w:p>
    <w:p w14:paraId="660F1572" w14:textId="4E08527C" w:rsidR="004560CA" w:rsidRDefault="00393399" w:rsidP="00F213A3">
      <w:r>
        <w:t xml:space="preserve">We see a similar pattern for higher education participation in </w:t>
      </w:r>
      <w:r>
        <w:fldChar w:fldCharType="begin"/>
      </w:r>
      <w:r>
        <w:instrText xml:space="preserve"> REF _Ref116555990 \h </w:instrText>
      </w:r>
      <w:r>
        <w:fldChar w:fldCharType="separate"/>
      </w:r>
      <w:r>
        <w:t xml:space="preserve">Figure </w:t>
      </w:r>
      <w:r>
        <w:rPr>
          <w:noProof/>
        </w:rPr>
        <w:t>14</w:t>
      </w:r>
      <w:r>
        <w:fldChar w:fldCharType="end"/>
      </w:r>
      <w:r>
        <w:t>c)</w:t>
      </w:r>
      <w:r w:rsidR="005D0C22">
        <w:t>.</w:t>
      </w:r>
      <w:r>
        <w:t xml:space="preserve"> </w:t>
      </w:r>
      <w:r w:rsidR="005D0C22">
        <w:t>However,</w:t>
      </w:r>
      <w:r>
        <w:t xml:space="preserve"> those from high-impact ethnic backgrounds living in London were still </w:t>
      </w:r>
      <w:r w:rsidR="005D0C22">
        <w:t>around 50</w:t>
      </w:r>
      <w:r>
        <w:t>% more likely</w:t>
      </w:r>
      <w:r w:rsidR="005D0C22">
        <w:t xml:space="preserve"> to be studying for a degree than </w:t>
      </w:r>
      <w:r w:rsidR="00BD05E5">
        <w:t>in the second highest region</w:t>
      </w:r>
      <w:r w:rsidR="005D0C22">
        <w:t xml:space="preserve"> (19% in London vs 12% in the North West).</w:t>
      </w:r>
      <w:r>
        <w:t xml:space="preserve"> </w:t>
      </w:r>
      <w:r w:rsidR="005D0C22">
        <w:t xml:space="preserve">The corresponding figure for </w:t>
      </w:r>
      <w:r>
        <w:t xml:space="preserve">those from low-impact backgrounds </w:t>
      </w:r>
      <w:r w:rsidR="005D0C22">
        <w:t xml:space="preserve">was around 25% (56% in London vs 44% in the East) and for long-term disadvantaged individuals overall was 88% (44% in London vs 23% in the West Midlands). </w:t>
      </w:r>
    </w:p>
    <w:p w14:paraId="75EDE985" w14:textId="77777777" w:rsidR="00080770" w:rsidRDefault="00080770" w:rsidP="00F213A3">
      <w:pPr>
        <w:sectPr w:rsidR="00080770">
          <w:endnotePr>
            <w:numFmt w:val="decimal"/>
          </w:endnotePr>
          <w:pgSz w:w="11906" w:h="16838"/>
          <w:pgMar w:top="1440" w:right="1440" w:bottom="1440" w:left="1440" w:header="708" w:footer="708" w:gutter="0"/>
          <w:cols w:space="708"/>
          <w:docGrid w:linePitch="360"/>
        </w:sectPr>
      </w:pPr>
    </w:p>
    <w:p w14:paraId="1584FB4F" w14:textId="6027E7A1" w:rsidR="00080770" w:rsidRDefault="00080770" w:rsidP="00F213A3"/>
    <w:p w14:paraId="7BFA7322" w14:textId="6957F405" w:rsidR="00080770" w:rsidRDefault="00BD1CCF" w:rsidP="00080770">
      <w:pPr>
        <w:keepNext/>
      </w:pPr>
      <w:r>
        <w:rPr>
          <w:noProof/>
          <w:lang w:eastAsia="en-GB"/>
        </w:rPr>
        <w:drawing>
          <wp:inline distT="0" distB="0" distL="0" distR="0" wp14:anchorId="6E394811" wp14:editId="75799708">
            <wp:extent cx="5731510" cy="67957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_6_Fig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795770"/>
                    </a:xfrm>
                    <a:prstGeom prst="rect">
                      <a:avLst/>
                    </a:prstGeom>
                  </pic:spPr>
                </pic:pic>
              </a:graphicData>
            </a:graphic>
          </wp:inline>
        </w:drawing>
      </w:r>
    </w:p>
    <w:p w14:paraId="2280B7CA" w14:textId="64AAFB7D" w:rsidR="008F02B5" w:rsidRDefault="00080770" w:rsidP="00080770">
      <w:pPr>
        <w:pStyle w:val="Caption"/>
      </w:pPr>
      <w:bookmarkStart w:id="25" w:name="_Ref116555990"/>
      <w:r>
        <w:t xml:space="preserve">Figure </w:t>
      </w:r>
      <w:r w:rsidR="00E14893">
        <w:fldChar w:fldCharType="begin"/>
      </w:r>
      <w:r w:rsidR="00E14893">
        <w:instrText xml:space="preserve"> SEQ Figure \* ARABIC </w:instrText>
      </w:r>
      <w:r w:rsidR="00E14893">
        <w:fldChar w:fldCharType="separate"/>
      </w:r>
      <w:r>
        <w:rPr>
          <w:noProof/>
        </w:rPr>
        <w:t>14</w:t>
      </w:r>
      <w:r w:rsidR="00E14893">
        <w:rPr>
          <w:noProof/>
        </w:rPr>
        <w:fldChar w:fldCharType="end"/>
      </w:r>
      <w:bookmarkEnd w:id="25"/>
      <w:r>
        <w:t>: Charts showing, for individuals in the 2013 Key Stage 4 cohort</w:t>
      </w:r>
      <w:r w:rsidR="008F02B5">
        <w:t xml:space="preserve"> who spent at least 80% of their school terms eligible for free school meals (FSM)</w:t>
      </w:r>
      <w:r>
        <w:t xml:space="preserve"> a) the proportion observed in a positive destination at age 22, b) </w:t>
      </w:r>
      <w:r w:rsidRPr="00080770">
        <w:t>who achieved qualifications at NQF level 3 or above by age 22</w:t>
      </w:r>
      <w:r>
        <w:t xml:space="preserve">, and c) </w:t>
      </w:r>
      <w:r w:rsidRPr="00080770">
        <w:t>the proportion participating in degree-level study at age 21</w:t>
      </w:r>
      <w:r>
        <w:t xml:space="preserve">. </w:t>
      </w:r>
      <w:r w:rsidRPr="00AF4302">
        <w:t xml:space="preserve">Results are split by </w:t>
      </w:r>
      <w:r>
        <w:t>region</w:t>
      </w:r>
      <w:r w:rsidRPr="00AF4302">
        <w:t xml:space="preserve"> and shown separately for the group total, </w:t>
      </w:r>
      <w:r w:rsidR="008F02B5">
        <w:t xml:space="preserve">and for </w:t>
      </w:r>
      <w:r w:rsidRPr="00AF4302">
        <w:t xml:space="preserve">those </w:t>
      </w:r>
      <w:r w:rsidR="008F02B5">
        <w:t xml:space="preserve">from a high- and low-impact ethnic group. </w:t>
      </w:r>
    </w:p>
    <w:p w14:paraId="4A1B2517" w14:textId="46AC1A12" w:rsidR="00080770" w:rsidRDefault="008F02B5" w:rsidP="00080770">
      <w:pPr>
        <w:pStyle w:val="Caption"/>
      </w:pPr>
      <w:r w:rsidRPr="008F02B5">
        <w:t>A positive destination is defined as being either in employment or enrolled at an education institution for at least 180 days.</w:t>
      </w:r>
      <w:r>
        <w:t xml:space="preserve"> </w:t>
      </w:r>
      <w:r w:rsidRPr="008F02B5">
        <w:t>NQF level 3 is the equivalent of two A-levels.</w:t>
      </w:r>
      <w:r>
        <w:t xml:space="preserve"> </w:t>
      </w:r>
      <w:r w:rsidRPr="008F02B5">
        <w:t>Degree-level study is defined as being enrolled on a qualification at NQF level 6 in a higher education institution.</w:t>
      </w:r>
      <w:r>
        <w:t xml:space="preserve"> </w:t>
      </w:r>
      <w:r w:rsidRPr="0005315D">
        <w:t>The “high impact” ethnicity grouping includes those from White British, White Irish, Irish Traveller, Roma, Black Caribbean, and Mixed White and Black Caribbean backgrounds, as well as those whose ethnic background is unknown. The “low impact” grouping contains individuals from all other ethnic backgrounds.</w:t>
      </w:r>
      <w:r>
        <w:t xml:space="preserve"> </w:t>
      </w:r>
      <w:r w:rsidRPr="008F02B5">
        <w:t xml:space="preserve">Region is based on school attended at age 16. </w:t>
      </w:r>
      <w:r>
        <w:t xml:space="preserve"> </w:t>
      </w:r>
    </w:p>
    <w:p w14:paraId="7BE3DA89" w14:textId="534172A7" w:rsidR="00080770" w:rsidRDefault="005D0C22" w:rsidP="00F213A3">
      <w:r>
        <w:lastRenderedPageBreak/>
        <w:t xml:space="preserve">On the broader measure of outcomes – the proportion of individuals observed in a sustained positive destination at age 22 – we see the biggest shift. For the long-term disadvantaged group as a whole, </w:t>
      </w:r>
      <w:r w:rsidR="00165917">
        <w:t>there is a difference of around 14pp between the regions with the best and worst outcomes (69% in London vs 54% in the North East). When the group is divided into low- and high- impact ethnic backgrounds, the difference is around 5-6% (for low-impact backgrounds, 74% in London vs 69% in the South West, for high-impact backgrounds, 59% in the South West vs 53% in the South East).</w:t>
      </w:r>
    </w:p>
    <w:p w14:paraId="10D84484" w14:textId="77777777" w:rsidR="00165917" w:rsidRDefault="00165917" w:rsidP="00F213A3"/>
    <w:p w14:paraId="05CAAFE8" w14:textId="3F3382BD" w:rsidR="00F4378F" w:rsidRDefault="00346ED9" w:rsidP="00FA27D4">
      <w:pPr>
        <w:pStyle w:val="Heading2"/>
      </w:pPr>
      <w:r>
        <w:t>4</w:t>
      </w:r>
      <w:r w:rsidR="00FA27D4">
        <w:t xml:space="preserve">. </w:t>
      </w:r>
      <w:r w:rsidR="00BC471D">
        <w:t>C</w:t>
      </w:r>
      <w:r w:rsidR="00FA27D4">
        <w:t>onclusions</w:t>
      </w:r>
    </w:p>
    <w:p w14:paraId="5C8BA5A5" w14:textId="0B8C383B" w:rsidR="009C4226" w:rsidRDefault="00FA16FE" w:rsidP="00FA27D4">
      <w:r>
        <w:t>Disadvantage is associated with negative long-term outcomes. Those who spent time eligible for FSM whilst at school were less likely than their peers to be observed in education or employment at age 22, and were more likely to be receiving workless benefits. Lower qualification rates at the end of compulsory schooling persisted into early adulthood, with lower rates of degree-level study also obser</w:t>
      </w:r>
      <w:r w:rsidR="009C4226">
        <w:t xml:space="preserve">ved. </w:t>
      </w:r>
      <w:r>
        <w:t>Crucially, outcomes worsened with severity of disadvantage</w:t>
      </w:r>
      <w:r w:rsidR="009C4226">
        <w:t xml:space="preserve"> – those who spent the longest proportion of their school careers eligible for FSM had the worst outcomes</w:t>
      </w:r>
      <w:r>
        <w:t>.</w:t>
      </w:r>
    </w:p>
    <w:p w14:paraId="713449F6" w14:textId="68DFAAA7" w:rsidR="009C4226" w:rsidRDefault="009C4226" w:rsidP="00FA27D4">
      <w:r>
        <w:t>The relationship between disadvantage and outcomes varied by ethnicity. For those from some ethnic backgrounds</w:t>
      </w:r>
      <w:r w:rsidR="00006F00">
        <w:t>,</w:t>
      </w:r>
      <w:r>
        <w:t xml:space="preserve"> outcomes were similar regardless of time spent eligible for FSM at school</w:t>
      </w:r>
      <w:r w:rsidR="00006F00">
        <w:t>, for example, those from Chinese, Indian, Bangladeshi, Pakistani, Other Asian, and Black African backgrounds.</w:t>
      </w:r>
      <w:r>
        <w:t xml:space="preserve"> </w:t>
      </w:r>
      <w:r w:rsidR="00006F00">
        <w:t>F</w:t>
      </w:r>
      <w:r>
        <w:t>or others</w:t>
      </w:r>
      <w:r w:rsidR="00006F00">
        <w:t>, time eligible for FSM had a big impact on outcomes, particularly those from White Irish, White British and Irish Traveller backgrounds</w:t>
      </w:r>
      <w:r>
        <w:t xml:space="preserve">. </w:t>
      </w:r>
    </w:p>
    <w:p w14:paraId="0EBEE016" w14:textId="1DB9224B" w:rsidR="00FA27D4" w:rsidRDefault="00346ED9" w:rsidP="00FA27D4">
      <w:r>
        <w:t xml:space="preserve">There was little variation by region in the relationship between disadvantage and outcomes, apart from in London where </w:t>
      </w:r>
      <w:r w:rsidR="00165917">
        <w:t>outcomes among the most disadvantaged individuals</w:t>
      </w:r>
      <w:r w:rsidR="00BD05E5">
        <w:t xml:space="preserve"> tended to be better than elsewhere. Much of this can be explained by the different ethnic composition of the long-term disadvantaged group in London compared with other regions.</w:t>
      </w:r>
      <w:r w:rsidR="00FA16FE">
        <w:t xml:space="preserve">  </w:t>
      </w:r>
    </w:p>
    <w:p w14:paraId="00B375C2" w14:textId="77777777" w:rsidR="00006F00" w:rsidRPr="00FA27D4" w:rsidRDefault="00006F00" w:rsidP="00FA27D4"/>
    <w:sectPr w:rsidR="00006F00" w:rsidRPr="00FA27D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C8686" w14:textId="77777777" w:rsidR="003C66CB" w:rsidRDefault="003C66CB" w:rsidP="00CF2B53">
      <w:pPr>
        <w:spacing w:after="0" w:line="240" w:lineRule="auto"/>
      </w:pPr>
      <w:r>
        <w:separator/>
      </w:r>
    </w:p>
  </w:endnote>
  <w:endnote w:type="continuationSeparator" w:id="0">
    <w:p w14:paraId="6863A06D" w14:textId="77777777" w:rsidR="003C66CB" w:rsidRDefault="003C66CB" w:rsidP="00CF2B53">
      <w:pPr>
        <w:spacing w:after="0" w:line="240" w:lineRule="auto"/>
      </w:pPr>
      <w:r>
        <w:continuationSeparator/>
      </w:r>
    </w:p>
  </w:endnote>
  <w:endnote w:id="1">
    <w:p w14:paraId="317DF909" w14:textId="3747F039" w:rsidR="003C66CB" w:rsidRDefault="003C66CB" w:rsidP="005A588F">
      <w:pPr>
        <w:pStyle w:val="EndnoteText"/>
      </w:pPr>
      <w:r>
        <w:rPr>
          <w:rStyle w:val="EndnoteReference"/>
        </w:rPr>
        <w:endnoteRef/>
      </w:r>
      <w:r>
        <w:t xml:space="preserve"> Treadaway, M. (2014), “Pupil Premium and the invisible group”. FFT Research Paper No 5, June 2014. [</w:t>
      </w:r>
      <w:hyperlink r:id="rId1" w:history="1">
        <w:r w:rsidRPr="005A588F">
          <w:rPr>
            <w:rStyle w:val="Hyperlink"/>
          </w:rPr>
          <w:t>PDF</w:t>
        </w:r>
      </w:hyperlink>
      <w:r>
        <w:t>]</w:t>
      </w:r>
    </w:p>
  </w:endnote>
  <w:endnote w:id="2">
    <w:p w14:paraId="68F53873" w14:textId="77777777" w:rsidR="003C66CB" w:rsidRDefault="003C66CB" w:rsidP="008F7B27">
      <w:pPr>
        <w:pStyle w:val="EndnoteText"/>
      </w:pPr>
      <w:r>
        <w:rPr>
          <w:rStyle w:val="EndnoteReference"/>
        </w:rPr>
        <w:endnoteRef/>
      </w:r>
      <w:r>
        <w:t xml:space="preserve"> </w:t>
      </w:r>
      <w:hyperlink r:id="rId2" w:history="1">
        <w:r w:rsidRPr="005A588F">
          <w:rPr>
            <w:rStyle w:val="Hyperlink"/>
          </w:rPr>
          <w:t>Long-term disadvantage, part three: Ethnicity, EAL and long-term disadvantage – Mike Treadaway</w:t>
        </w:r>
      </w:hyperlink>
    </w:p>
  </w:endnote>
  <w:endnote w:id="3">
    <w:p w14:paraId="63E6E0DB" w14:textId="77777777" w:rsidR="003C66CB" w:rsidRDefault="003C66CB" w:rsidP="00AA5D2C">
      <w:pPr>
        <w:pStyle w:val="EndnoteText"/>
      </w:pPr>
      <w:r>
        <w:rPr>
          <w:rStyle w:val="EndnoteReference"/>
        </w:rPr>
        <w:endnoteRef/>
      </w:r>
      <w:r>
        <w:t xml:space="preserve"> </w:t>
      </w:r>
      <w:hyperlink r:id="rId3" w:history="1">
        <w:r w:rsidRPr="001C64CB">
          <w:rPr>
            <w:rStyle w:val="Hyperlink"/>
          </w:rPr>
          <w:t>Education Inequalities – IFS review</w:t>
        </w:r>
      </w:hyperlink>
    </w:p>
  </w:endnote>
  <w:endnote w:id="4">
    <w:p w14:paraId="2B4D28C5" w14:textId="77777777" w:rsidR="003C66CB" w:rsidRDefault="003C66CB" w:rsidP="00AA5D2C">
      <w:pPr>
        <w:pStyle w:val="EndnoteText"/>
      </w:pPr>
      <w:r>
        <w:rPr>
          <w:rStyle w:val="EndnoteReference"/>
        </w:rPr>
        <w:endnoteRef/>
      </w:r>
      <w:r>
        <w:t xml:space="preserve"> </w:t>
      </w:r>
      <w:hyperlink r:id="rId4" w:anchor="earnings-by-free-school-meal-status" w:history="1">
        <w:r w:rsidRPr="001C64CB">
          <w:rPr>
            <w:rStyle w:val="Hyperlink"/>
          </w:rPr>
          <w:t>Education, social mobility and outcomes for students receiving free school meals in England: initial findings on earnings outcomes by demographic and regional factors – ONS article</w:t>
        </w:r>
      </w:hyperlink>
    </w:p>
  </w:endnote>
  <w:endnote w:id="5">
    <w:p w14:paraId="4A21E708" w14:textId="77777777" w:rsidR="003C66CB" w:rsidRDefault="003C66CB" w:rsidP="00AA5D2C">
      <w:pPr>
        <w:pStyle w:val="EndnoteText"/>
      </w:pPr>
      <w:r>
        <w:rPr>
          <w:rStyle w:val="EndnoteReference"/>
        </w:rPr>
        <w:endnoteRef/>
      </w:r>
      <w:r>
        <w:t xml:space="preserve"> </w:t>
      </w:r>
      <w:hyperlink r:id="rId5" w:history="1">
        <w:r w:rsidRPr="001C64CB">
          <w:rPr>
            <w:rStyle w:val="Hyperlink"/>
          </w:rPr>
          <w:t>Why free school meal recipients earn less than their peers – ONS article</w:t>
        </w:r>
      </w:hyperlink>
    </w:p>
  </w:endnote>
  <w:endnote w:id="6">
    <w:p w14:paraId="4B2A930D" w14:textId="08687956" w:rsidR="003C66CB" w:rsidRPr="00D7721A" w:rsidRDefault="003C66CB">
      <w:pPr>
        <w:pStyle w:val="EndnoteText"/>
      </w:pPr>
      <w:r>
        <w:rPr>
          <w:rStyle w:val="EndnoteReference"/>
        </w:rPr>
        <w:endnoteRef/>
      </w:r>
      <w:r>
        <w:t xml:space="preserve"> National Qualifications Framework (NQF) levels: Level 1 is equivalent to 5 or more GCSEs at grades 9-1 (A*-G), Level 2 is equivalent to 5 or more GCSEs at grades 9-4 (A*-C); Level 3 is equivalent to 2 or more A levels; Level 6 is equivalent to a first degree.</w:t>
      </w:r>
    </w:p>
  </w:endnote>
  <w:endnote w:id="7">
    <w:p w14:paraId="02CE425E" w14:textId="49092561" w:rsidR="003C66CB" w:rsidRPr="00231087" w:rsidRDefault="003C66CB">
      <w:pPr>
        <w:pStyle w:val="EndnoteText"/>
        <w:rPr>
          <w:lang w:val="en-US"/>
        </w:rPr>
      </w:pPr>
      <w:r>
        <w:rPr>
          <w:rStyle w:val="EndnoteReference"/>
        </w:rPr>
        <w:endnoteRef/>
      </w:r>
      <w:r>
        <w:t xml:space="preserve"> Jobseekers Allowance (JSA), Jobseekers Training Allowance (JTA), Employment and Support Allowance (ESA), Incapacity Benefit (IB), Income Support (IS), Passported IB (PIB), Severe Disablement Allowance (SDA), Pension Credit (PC), State (Retirement) Pension (RP), Carers Allowance (Invalid Carers Allowance – ICA), Attendance Allowance (AA), Universal Credit – Searching for Work (UAA), Universal Credit – No Work requirements (UBC), Universal Credit – Preparing for work (UCE), Universal Credit – Planning for work (UDF)</w:t>
      </w:r>
    </w:p>
  </w:endnote>
  <w:endnote w:id="8">
    <w:p w14:paraId="01875760" w14:textId="3550B5D8" w:rsidR="003C66CB" w:rsidRDefault="003C66CB">
      <w:pPr>
        <w:pStyle w:val="EndnoteText"/>
      </w:pPr>
      <w:r>
        <w:rPr>
          <w:rStyle w:val="EndnoteReference"/>
        </w:rPr>
        <w:endnoteRef/>
      </w:r>
      <w:r>
        <w:t xml:space="preserve"> </w:t>
      </w:r>
      <w:hyperlink r:id="rId6" w:history="1">
        <w:r>
          <w:rPr>
            <w:rStyle w:val="Hyperlink"/>
          </w:rPr>
          <w:t>The impact of being long-term disadvantaged at KS2 and KS4 - FFT Education Datalab blog</w:t>
        </w:r>
      </w:hyperlink>
    </w:p>
    <w:p w14:paraId="3C095591" w14:textId="77777777" w:rsidR="003C66CB" w:rsidRDefault="003C66C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55 Roman">
    <w:panose1 w:val="020B05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591F3" w14:textId="77777777" w:rsidR="003C66CB" w:rsidRDefault="003C66CB" w:rsidP="00CF2B53">
      <w:pPr>
        <w:spacing w:after="0" w:line="240" w:lineRule="auto"/>
      </w:pPr>
      <w:r>
        <w:separator/>
      </w:r>
    </w:p>
  </w:footnote>
  <w:footnote w:type="continuationSeparator" w:id="0">
    <w:p w14:paraId="31359C10" w14:textId="77777777" w:rsidR="003C66CB" w:rsidRDefault="003C66CB" w:rsidP="00CF2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C66"/>
    <w:multiLevelType w:val="hybridMultilevel"/>
    <w:tmpl w:val="D4323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891B07"/>
    <w:multiLevelType w:val="hybridMultilevel"/>
    <w:tmpl w:val="2AF08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76CAB"/>
    <w:multiLevelType w:val="hybridMultilevel"/>
    <w:tmpl w:val="76726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F7A0C13"/>
    <w:multiLevelType w:val="hybridMultilevel"/>
    <w:tmpl w:val="AADC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972C7"/>
    <w:multiLevelType w:val="hybridMultilevel"/>
    <w:tmpl w:val="2D741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C31A59"/>
    <w:multiLevelType w:val="hybridMultilevel"/>
    <w:tmpl w:val="42AC2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AA74BE"/>
    <w:multiLevelType w:val="hybridMultilevel"/>
    <w:tmpl w:val="EE7CC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55EB2"/>
    <w:multiLevelType w:val="hybridMultilevel"/>
    <w:tmpl w:val="2D68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94325E"/>
    <w:multiLevelType w:val="hybridMultilevel"/>
    <w:tmpl w:val="EE04D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8"/>
  </w:num>
  <w:num w:numId="6">
    <w:abstractNumId w:val="2"/>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CB"/>
    <w:rsid w:val="00006F00"/>
    <w:rsid w:val="00016A8A"/>
    <w:rsid w:val="000207B7"/>
    <w:rsid w:val="00050ECB"/>
    <w:rsid w:val="0005315D"/>
    <w:rsid w:val="000631B6"/>
    <w:rsid w:val="00080770"/>
    <w:rsid w:val="000A2FF4"/>
    <w:rsid w:val="000C7D59"/>
    <w:rsid w:val="000D16F6"/>
    <w:rsid w:val="000D4A1D"/>
    <w:rsid w:val="000F5115"/>
    <w:rsid w:val="00112A8E"/>
    <w:rsid w:val="00115898"/>
    <w:rsid w:val="001635A4"/>
    <w:rsid w:val="00165917"/>
    <w:rsid w:val="00191596"/>
    <w:rsid w:val="001A5DE4"/>
    <w:rsid w:val="001A608A"/>
    <w:rsid w:val="001A714F"/>
    <w:rsid w:val="001B12E6"/>
    <w:rsid w:val="001C64CB"/>
    <w:rsid w:val="001D092A"/>
    <w:rsid w:val="00202441"/>
    <w:rsid w:val="00214B26"/>
    <w:rsid w:val="0021792A"/>
    <w:rsid w:val="00226090"/>
    <w:rsid w:val="00231087"/>
    <w:rsid w:val="00252000"/>
    <w:rsid w:val="00256F5E"/>
    <w:rsid w:val="002768AA"/>
    <w:rsid w:val="002818D3"/>
    <w:rsid w:val="00290868"/>
    <w:rsid w:val="002B7C0D"/>
    <w:rsid w:val="002D0278"/>
    <w:rsid w:val="00310702"/>
    <w:rsid w:val="00346ED9"/>
    <w:rsid w:val="00393399"/>
    <w:rsid w:val="003B0AE6"/>
    <w:rsid w:val="003B0E7B"/>
    <w:rsid w:val="003C2828"/>
    <w:rsid w:val="003C66CB"/>
    <w:rsid w:val="003F15E1"/>
    <w:rsid w:val="00412987"/>
    <w:rsid w:val="00451E8A"/>
    <w:rsid w:val="00454E0A"/>
    <w:rsid w:val="004560CA"/>
    <w:rsid w:val="00476FA5"/>
    <w:rsid w:val="004851C1"/>
    <w:rsid w:val="0048615D"/>
    <w:rsid w:val="00492796"/>
    <w:rsid w:val="00495B16"/>
    <w:rsid w:val="004B7CCE"/>
    <w:rsid w:val="004C061F"/>
    <w:rsid w:val="004F155C"/>
    <w:rsid w:val="00513CB3"/>
    <w:rsid w:val="005813A0"/>
    <w:rsid w:val="00583290"/>
    <w:rsid w:val="005A04EC"/>
    <w:rsid w:val="005A468B"/>
    <w:rsid w:val="005A588F"/>
    <w:rsid w:val="005D0C22"/>
    <w:rsid w:val="005D3968"/>
    <w:rsid w:val="00604AE4"/>
    <w:rsid w:val="00645726"/>
    <w:rsid w:val="006644C7"/>
    <w:rsid w:val="006C58E6"/>
    <w:rsid w:val="006C7BE6"/>
    <w:rsid w:val="006D7D41"/>
    <w:rsid w:val="006F206A"/>
    <w:rsid w:val="00715584"/>
    <w:rsid w:val="0072788A"/>
    <w:rsid w:val="0073161B"/>
    <w:rsid w:val="00734D72"/>
    <w:rsid w:val="00755377"/>
    <w:rsid w:val="00763626"/>
    <w:rsid w:val="00777FAF"/>
    <w:rsid w:val="00787630"/>
    <w:rsid w:val="007B56F4"/>
    <w:rsid w:val="007E2FCF"/>
    <w:rsid w:val="00813F83"/>
    <w:rsid w:val="00820F4A"/>
    <w:rsid w:val="00840C95"/>
    <w:rsid w:val="0085556C"/>
    <w:rsid w:val="00882925"/>
    <w:rsid w:val="008F02B5"/>
    <w:rsid w:val="008F2AC7"/>
    <w:rsid w:val="008F2FFC"/>
    <w:rsid w:val="008F7B27"/>
    <w:rsid w:val="00934B79"/>
    <w:rsid w:val="00960F8F"/>
    <w:rsid w:val="00974792"/>
    <w:rsid w:val="00975EE2"/>
    <w:rsid w:val="009A7B74"/>
    <w:rsid w:val="009C4226"/>
    <w:rsid w:val="009C43A1"/>
    <w:rsid w:val="009C5C95"/>
    <w:rsid w:val="009D56CE"/>
    <w:rsid w:val="009E5013"/>
    <w:rsid w:val="009E6AB9"/>
    <w:rsid w:val="00A136A6"/>
    <w:rsid w:val="00A2411A"/>
    <w:rsid w:val="00A3183D"/>
    <w:rsid w:val="00A41DAA"/>
    <w:rsid w:val="00A47957"/>
    <w:rsid w:val="00A55963"/>
    <w:rsid w:val="00A57663"/>
    <w:rsid w:val="00A85BF7"/>
    <w:rsid w:val="00A91255"/>
    <w:rsid w:val="00AA5D2C"/>
    <w:rsid w:val="00AF4302"/>
    <w:rsid w:val="00B05D43"/>
    <w:rsid w:val="00B10AF1"/>
    <w:rsid w:val="00B339CB"/>
    <w:rsid w:val="00B348A7"/>
    <w:rsid w:val="00B414D7"/>
    <w:rsid w:val="00B46E0F"/>
    <w:rsid w:val="00B55252"/>
    <w:rsid w:val="00B65D6E"/>
    <w:rsid w:val="00B76E24"/>
    <w:rsid w:val="00B93BDE"/>
    <w:rsid w:val="00BC471D"/>
    <w:rsid w:val="00BC5DF6"/>
    <w:rsid w:val="00BD05E5"/>
    <w:rsid w:val="00BD1CCF"/>
    <w:rsid w:val="00BF7E88"/>
    <w:rsid w:val="00C160CE"/>
    <w:rsid w:val="00C1659E"/>
    <w:rsid w:val="00C16ACF"/>
    <w:rsid w:val="00CA0D62"/>
    <w:rsid w:val="00CA5109"/>
    <w:rsid w:val="00CB05E1"/>
    <w:rsid w:val="00CF2B53"/>
    <w:rsid w:val="00D7721A"/>
    <w:rsid w:val="00D942E7"/>
    <w:rsid w:val="00D97110"/>
    <w:rsid w:val="00DA0CC7"/>
    <w:rsid w:val="00DD4C11"/>
    <w:rsid w:val="00DE4C4D"/>
    <w:rsid w:val="00E14893"/>
    <w:rsid w:val="00E15017"/>
    <w:rsid w:val="00E31FD6"/>
    <w:rsid w:val="00E35B33"/>
    <w:rsid w:val="00E43027"/>
    <w:rsid w:val="00E739C4"/>
    <w:rsid w:val="00E74338"/>
    <w:rsid w:val="00E8772B"/>
    <w:rsid w:val="00E9238D"/>
    <w:rsid w:val="00EA58BF"/>
    <w:rsid w:val="00F213A3"/>
    <w:rsid w:val="00F4378F"/>
    <w:rsid w:val="00F44825"/>
    <w:rsid w:val="00F642A9"/>
    <w:rsid w:val="00F821E9"/>
    <w:rsid w:val="00F86884"/>
    <w:rsid w:val="00F903DE"/>
    <w:rsid w:val="00F966E9"/>
    <w:rsid w:val="00FA16FE"/>
    <w:rsid w:val="00FA27D4"/>
    <w:rsid w:val="00FE58DA"/>
    <w:rsid w:val="00FF5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23020A3"/>
  <w15:chartTrackingRefBased/>
  <w15:docId w15:val="{A2FC57CB-5E1D-437E-BECD-302A1AA20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D6E"/>
    <w:rPr>
      <w:rFonts w:ascii="Avenir LT Std 35 Light" w:hAnsi="Avenir LT Std 35 Light"/>
    </w:rPr>
  </w:style>
  <w:style w:type="paragraph" w:styleId="Heading1">
    <w:name w:val="heading 1"/>
    <w:basedOn w:val="Normal"/>
    <w:next w:val="Normal"/>
    <w:link w:val="Heading1Char"/>
    <w:uiPriority w:val="9"/>
    <w:qFormat/>
    <w:rsid w:val="00AF4302"/>
    <w:pPr>
      <w:keepNext/>
      <w:keepLines/>
      <w:spacing w:before="240" w:after="0"/>
      <w:outlineLvl w:val="0"/>
    </w:pPr>
    <w:rPr>
      <w:rFonts w:eastAsiaTheme="majorEastAsia" w:cstheme="majorBidi"/>
      <w:color w:val="E6007E" w:themeColor="accent1"/>
      <w:sz w:val="32"/>
      <w:szCs w:val="32"/>
    </w:rPr>
  </w:style>
  <w:style w:type="paragraph" w:styleId="Heading2">
    <w:name w:val="heading 2"/>
    <w:basedOn w:val="Normal"/>
    <w:next w:val="Normal"/>
    <w:link w:val="Heading2Char"/>
    <w:uiPriority w:val="9"/>
    <w:unhideWhenUsed/>
    <w:qFormat/>
    <w:rsid w:val="00AF4302"/>
    <w:pPr>
      <w:keepNext/>
      <w:keepLines/>
      <w:spacing w:before="40" w:after="0"/>
      <w:outlineLvl w:val="1"/>
    </w:pPr>
    <w:rPr>
      <w:rFonts w:eastAsiaTheme="majorEastAsia" w:cstheme="majorBidi"/>
      <w:color w:val="E6007E" w:themeColor="accent1"/>
      <w:sz w:val="26"/>
      <w:szCs w:val="26"/>
    </w:rPr>
  </w:style>
  <w:style w:type="paragraph" w:styleId="Heading3">
    <w:name w:val="heading 3"/>
    <w:basedOn w:val="Normal"/>
    <w:next w:val="Normal"/>
    <w:link w:val="Heading3Char"/>
    <w:uiPriority w:val="9"/>
    <w:unhideWhenUsed/>
    <w:qFormat/>
    <w:rsid w:val="00AF4302"/>
    <w:pPr>
      <w:keepNext/>
      <w:keepLines/>
      <w:spacing w:before="40" w:after="0"/>
      <w:outlineLvl w:val="2"/>
    </w:pPr>
    <w:rPr>
      <w:rFonts w:eastAsiaTheme="majorEastAsia" w:cstheme="majorBidi"/>
      <w:color w:val="E6007E" w:themeColor="accent1"/>
      <w:sz w:val="24"/>
      <w:szCs w:val="24"/>
    </w:rPr>
  </w:style>
  <w:style w:type="paragraph" w:styleId="Heading4">
    <w:name w:val="heading 4"/>
    <w:basedOn w:val="Normal"/>
    <w:next w:val="Normal"/>
    <w:link w:val="Heading4Char"/>
    <w:uiPriority w:val="9"/>
    <w:unhideWhenUsed/>
    <w:qFormat/>
    <w:rsid w:val="00AF4302"/>
    <w:pPr>
      <w:keepNext/>
      <w:keepLines/>
      <w:spacing w:before="40" w:after="0"/>
      <w:outlineLvl w:val="3"/>
    </w:pPr>
    <w:rPr>
      <w:rFonts w:asciiTheme="majorHAnsi" w:eastAsiaTheme="majorEastAsia" w:hAnsiTheme="majorHAnsi" w:cstheme="majorBidi"/>
      <w:i/>
      <w:iCs/>
      <w:color w:val="E6007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F4302"/>
    <w:rPr>
      <w:rFonts w:ascii="Avenir LT Std 35 Light" w:eastAsiaTheme="majorEastAsia" w:hAnsi="Avenir LT Std 35 Light" w:cstheme="majorBidi"/>
      <w:color w:val="E6007E" w:themeColor="accent1"/>
      <w:sz w:val="24"/>
      <w:szCs w:val="24"/>
    </w:rPr>
  </w:style>
  <w:style w:type="character" w:customStyle="1" w:styleId="Heading4Char">
    <w:name w:val="Heading 4 Char"/>
    <w:basedOn w:val="DefaultParagraphFont"/>
    <w:link w:val="Heading4"/>
    <w:uiPriority w:val="9"/>
    <w:rsid w:val="00AF4302"/>
    <w:rPr>
      <w:rFonts w:asciiTheme="majorHAnsi" w:eastAsiaTheme="majorEastAsia" w:hAnsiTheme="majorHAnsi" w:cstheme="majorBidi"/>
      <w:i/>
      <w:iCs/>
      <w:color w:val="E6007E" w:themeColor="accent1"/>
    </w:rPr>
  </w:style>
  <w:style w:type="paragraph" w:styleId="ListParagraph">
    <w:name w:val="List Paragraph"/>
    <w:basedOn w:val="Normal"/>
    <w:uiPriority w:val="34"/>
    <w:qFormat/>
    <w:rsid w:val="0072788A"/>
    <w:pPr>
      <w:ind w:left="720"/>
      <w:contextualSpacing/>
    </w:pPr>
  </w:style>
  <w:style w:type="character" w:styleId="CommentReference">
    <w:name w:val="annotation reference"/>
    <w:basedOn w:val="DefaultParagraphFont"/>
    <w:uiPriority w:val="99"/>
    <w:semiHidden/>
    <w:unhideWhenUsed/>
    <w:rsid w:val="00B414D7"/>
    <w:rPr>
      <w:sz w:val="16"/>
      <w:szCs w:val="16"/>
    </w:rPr>
  </w:style>
  <w:style w:type="paragraph" w:styleId="CommentText">
    <w:name w:val="annotation text"/>
    <w:basedOn w:val="Normal"/>
    <w:link w:val="CommentTextChar"/>
    <w:uiPriority w:val="99"/>
    <w:semiHidden/>
    <w:unhideWhenUsed/>
    <w:rsid w:val="00B414D7"/>
    <w:pPr>
      <w:spacing w:line="240" w:lineRule="auto"/>
    </w:pPr>
    <w:rPr>
      <w:sz w:val="20"/>
      <w:szCs w:val="20"/>
    </w:rPr>
  </w:style>
  <w:style w:type="character" w:customStyle="1" w:styleId="CommentTextChar">
    <w:name w:val="Comment Text Char"/>
    <w:basedOn w:val="DefaultParagraphFont"/>
    <w:link w:val="CommentText"/>
    <w:uiPriority w:val="99"/>
    <w:semiHidden/>
    <w:rsid w:val="00B414D7"/>
    <w:rPr>
      <w:sz w:val="20"/>
      <w:szCs w:val="20"/>
    </w:rPr>
  </w:style>
  <w:style w:type="paragraph" w:styleId="CommentSubject">
    <w:name w:val="annotation subject"/>
    <w:basedOn w:val="CommentText"/>
    <w:next w:val="CommentText"/>
    <w:link w:val="CommentSubjectChar"/>
    <w:uiPriority w:val="99"/>
    <w:semiHidden/>
    <w:unhideWhenUsed/>
    <w:rsid w:val="00B414D7"/>
    <w:rPr>
      <w:b/>
      <w:bCs/>
    </w:rPr>
  </w:style>
  <w:style w:type="character" w:customStyle="1" w:styleId="CommentSubjectChar">
    <w:name w:val="Comment Subject Char"/>
    <w:basedOn w:val="CommentTextChar"/>
    <w:link w:val="CommentSubject"/>
    <w:uiPriority w:val="99"/>
    <w:semiHidden/>
    <w:rsid w:val="00B414D7"/>
    <w:rPr>
      <w:b/>
      <w:bCs/>
      <w:sz w:val="20"/>
      <w:szCs w:val="20"/>
    </w:rPr>
  </w:style>
  <w:style w:type="paragraph" w:styleId="BalloonText">
    <w:name w:val="Balloon Text"/>
    <w:basedOn w:val="Normal"/>
    <w:link w:val="BalloonTextChar"/>
    <w:uiPriority w:val="99"/>
    <w:semiHidden/>
    <w:unhideWhenUsed/>
    <w:rsid w:val="00B41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4D7"/>
    <w:rPr>
      <w:rFonts w:ascii="Segoe UI" w:hAnsi="Segoe UI" w:cs="Segoe UI"/>
      <w:sz w:val="18"/>
      <w:szCs w:val="18"/>
    </w:rPr>
  </w:style>
  <w:style w:type="paragraph" w:styleId="EndnoteText">
    <w:name w:val="endnote text"/>
    <w:basedOn w:val="Normal"/>
    <w:link w:val="EndnoteTextChar"/>
    <w:uiPriority w:val="99"/>
    <w:semiHidden/>
    <w:unhideWhenUsed/>
    <w:rsid w:val="00CF2B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2B53"/>
    <w:rPr>
      <w:sz w:val="20"/>
      <w:szCs w:val="20"/>
    </w:rPr>
  </w:style>
  <w:style w:type="character" w:styleId="EndnoteReference">
    <w:name w:val="endnote reference"/>
    <w:basedOn w:val="DefaultParagraphFont"/>
    <w:uiPriority w:val="99"/>
    <w:semiHidden/>
    <w:unhideWhenUsed/>
    <w:rsid w:val="00CF2B53"/>
    <w:rPr>
      <w:vertAlign w:val="superscript"/>
    </w:rPr>
  </w:style>
  <w:style w:type="character" w:styleId="Hyperlink">
    <w:name w:val="Hyperlink"/>
    <w:basedOn w:val="DefaultParagraphFont"/>
    <w:uiPriority w:val="99"/>
    <w:unhideWhenUsed/>
    <w:rsid w:val="00CF2B53"/>
    <w:rPr>
      <w:color w:val="0563C1" w:themeColor="hyperlink"/>
      <w:u w:val="single"/>
    </w:rPr>
  </w:style>
  <w:style w:type="character" w:customStyle="1" w:styleId="Heading2Char">
    <w:name w:val="Heading 2 Char"/>
    <w:basedOn w:val="DefaultParagraphFont"/>
    <w:link w:val="Heading2"/>
    <w:uiPriority w:val="9"/>
    <w:rsid w:val="00AF4302"/>
    <w:rPr>
      <w:rFonts w:ascii="Avenir LT Std 35 Light" w:eastAsiaTheme="majorEastAsia" w:hAnsi="Avenir LT Std 35 Light" w:cstheme="majorBidi"/>
      <w:color w:val="E6007E" w:themeColor="accent1"/>
      <w:sz w:val="26"/>
      <w:szCs w:val="26"/>
    </w:rPr>
  </w:style>
  <w:style w:type="paragraph" w:styleId="Caption">
    <w:name w:val="caption"/>
    <w:basedOn w:val="Normal"/>
    <w:next w:val="Normal"/>
    <w:uiPriority w:val="35"/>
    <w:unhideWhenUsed/>
    <w:qFormat/>
    <w:rsid w:val="00D942E7"/>
    <w:pPr>
      <w:spacing w:after="200" w:line="240" w:lineRule="auto"/>
    </w:pPr>
    <w:rPr>
      <w:i/>
      <w:iCs/>
      <w:color w:val="535353" w:themeColor="text2"/>
      <w:sz w:val="18"/>
      <w:szCs w:val="18"/>
    </w:rPr>
  </w:style>
  <w:style w:type="paragraph" w:styleId="FootnoteText">
    <w:name w:val="footnote text"/>
    <w:basedOn w:val="Normal"/>
    <w:link w:val="FootnoteTextChar"/>
    <w:uiPriority w:val="99"/>
    <w:semiHidden/>
    <w:unhideWhenUsed/>
    <w:rsid w:val="006D7D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7D41"/>
    <w:rPr>
      <w:sz w:val="20"/>
      <w:szCs w:val="20"/>
    </w:rPr>
  </w:style>
  <w:style w:type="character" w:styleId="FootnoteReference">
    <w:name w:val="footnote reference"/>
    <w:basedOn w:val="DefaultParagraphFont"/>
    <w:uiPriority w:val="99"/>
    <w:semiHidden/>
    <w:unhideWhenUsed/>
    <w:rsid w:val="006D7D41"/>
    <w:rPr>
      <w:vertAlign w:val="superscript"/>
    </w:rPr>
  </w:style>
  <w:style w:type="paragraph" w:styleId="NoSpacing">
    <w:name w:val="No Spacing"/>
    <w:uiPriority w:val="1"/>
    <w:qFormat/>
    <w:rsid w:val="002818D3"/>
    <w:pPr>
      <w:spacing w:after="0" w:line="240" w:lineRule="auto"/>
    </w:pPr>
  </w:style>
  <w:style w:type="character" w:customStyle="1" w:styleId="Heading1Char">
    <w:name w:val="Heading 1 Char"/>
    <w:basedOn w:val="DefaultParagraphFont"/>
    <w:link w:val="Heading1"/>
    <w:uiPriority w:val="9"/>
    <w:rsid w:val="00AF4302"/>
    <w:rPr>
      <w:rFonts w:ascii="Avenir LT Std 35 Light" w:eastAsiaTheme="majorEastAsia" w:hAnsi="Avenir LT Std 35 Light" w:cstheme="majorBidi"/>
      <w:color w:val="E6007E" w:themeColor="accent1"/>
      <w:sz w:val="32"/>
      <w:szCs w:val="32"/>
    </w:rPr>
  </w:style>
  <w:style w:type="table" w:styleId="TableGrid">
    <w:name w:val="Table Grid"/>
    <w:basedOn w:val="TableNormal"/>
    <w:uiPriority w:val="39"/>
    <w:rsid w:val="00E35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4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D72"/>
    <w:rPr>
      <w:rFonts w:ascii="Avenir LT Std 35 Light" w:hAnsi="Avenir LT Std 35 Light"/>
    </w:rPr>
  </w:style>
  <w:style w:type="paragraph" w:styleId="Footer">
    <w:name w:val="footer"/>
    <w:basedOn w:val="Normal"/>
    <w:link w:val="FooterChar"/>
    <w:uiPriority w:val="99"/>
    <w:unhideWhenUsed/>
    <w:rsid w:val="00734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D72"/>
    <w:rPr>
      <w:rFonts w:ascii="Avenir LT Std 35 Light" w:hAnsi="Avenir LT Std 3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8392">
      <w:bodyDiv w:val="1"/>
      <w:marLeft w:val="0"/>
      <w:marRight w:val="0"/>
      <w:marTop w:val="0"/>
      <w:marBottom w:val="0"/>
      <w:divBdr>
        <w:top w:val="none" w:sz="0" w:space="0" w:color="auto"/>
        <w:left w:val="none" w:sz="0" w:space="0" w:color="auto"/>
        <w:bottom w:val="none" w:sz="0" w:space="0" w:color="auto"/>
        <w:right w:val="none" w:sz="0" w:space="0" w:color="auto"/>
      </w:divBdr>
    </w:div>
    <w:div w:id="835533506">
      <w:bodyDiv w:val="1"/>
      <w:marLeft w:val="0"/>
      <w:marRight w:val="0"/>
      <w:marTop w:val="0"/>
      <w:marBottom w:val="0"/>
      <w:divBdr>
        <w:top w:val="none" w:sz="0" w:space="0" w:color="auto"/>
        <w:left w:val="none" w:sz="0" w:space="0" w:color="auto"/>
        <w:bottom w:val="none" w:sz="0" w:space="0" w:color="auto"/>
        <w:right w:val="none" w:sz="0" w:space="0" w:color="auto"/>
      </w:divBdr>
    </w:div>
    <w:div w:id="1229919216">
      <w:bodyDiv w:val="1"/>
      <w:marLeft w:val="0"/>
      <w:marRight w:val="0"/>
      <w:marTop w:val="0"/>
      <w:marBottom w:val="0"/>
      <w:divBdr>
        <w:top w:val="none" w:sz="0" w:space="0" w:color="auto"/>
        <w:left w:val="none" w:sz="0" w:space="0" w:color="auto"/>
        <w:bottom w:val="none" w:sz="0" w:space="0" w:color="auto"/>
        <w:right w:val="none" w:sz="0" w:space="0" w:color="auto"/>
      </w:divBdr>
    </w:div>
    <w:div w:id="1261256859">
      <w:bodyDiv w:val="1"/>
      <w:marLeft w:val="0"/>
      <w:marRight w:val="0"/>
      <w:marTop w:val="0"/>
      <w:marBottom w:val="0"/>
      <w:divBdr>
        <w:top w:val="none" w:sz="0" w:space="0" w:color="auto"/>
        <w:left w:val="none" w:sz="0" w:space="0" w:color="auto"/>
        <w:bottom w:val="none" w:sz="0" w:space="0" w:color="auto"/>
        <w:right w:val="none" w:sz="0" w:space="0" w:color="auto"/>
      </w:divBdr>
    </w:div>
    <w:div w:id="1544907304">
      <w:bodyDiv w:val="1"/>
      <w:marLeft w:val="0"/>
      <w:marRight w:val="0"/>
      <w:marTop w:val="0"/>
      <w:marBottom w:val="0"/>
      <w:divBdr>
        <w:top w:val="none" w:sz="0" w:space="0" w:color="auto"/>
        <w:left w:val="none" w:sz="0" w:space="0" w:color="auto"/>
        <w:bottom w:val="none" w:sz="0" w:space="0" w:color="auto"/>
        <w:right w:val="none" w:sz="0" w:space="0" w:color="auto"/>
      </w:divBdr>
    </w:div>
    <w:div w:id="1635912390">
      <w:bodyDiv w:val="1"/>
      <w:marLeft w:val="0"/>
      <w:marRight w:val="0"/>
      <w:marTop w:val="0"/>
      <w:marBottom w:val="0"/>
      <w:divBdr>
        <w:top w:val="none" w:sz="0" w:space="0" w:color="auto"/>
        <w:left w:val="none" w:sz="0" w:space="0" w:color="auto"/>
        <w:bottom w:val="none" w:sz="0" w:space="0" w:color="auto"/>
        <w:right w:val="none" w:sz="0" w:space="0" w:color="auto"/>
      </w:divBdr>
    </w:div>
    <w:div w:id="17759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ifs.org.uk/inequality/chapter/education-inequalities/" TargetMode="External"/><Relationship Id="rId2" Type="http://schemas.openxmlformats.org/officeDocument/2006/relationships/hyperlink" Target="https://ffteducationdatalab.org.uk/2017/07/long-term-disadvantage-part-three-ethnicity-eal-and-long-term-disadvantage/" TargetMode="External"/><Relationship Id="rId1" Type="http://schemas.openxmlformats.org/officeDocument/2006/relationships/hyperlink" Target="https://ffteducationdatalab.org.uk/wp-content/uploads/2017/06/FFT-Research-Pupil-Premium-and-the-Invisible-Group.pdf" TargetMode="External"/><Relationship Id="rId6" Type="http://schemas.openxmlformats.org/officeDocument/2006/relationships/hyperlink" Target="https://ffteducationdatalab.org.uk/2021/01/the-impact-of-being-long-term-disadvantaged-at-ks2-and-ks4/" TargetMode="External"/><Relationship Id="rId5" Type="http://schemas.openxmlformats.org/officeDocument/2006/relationships/hyperlink" Target="https://www.ons.gov.uk/peoplepopulationandcommunity/educationandchildcare/articles/whyfreeschoolmealrecipientsearnlessthantheirpeers/2022-08-04" TargetMode="External"/><Relationship Id="rId4" Type="http://schemas.openxmlformats.org/officeDocument/2006/relationships/hyperlink" Target="https://www.ons.gov.uk/peoplepopulationandcommunity/educationandchildcare/articles/educationsocialmobilityandoutcomesforstudentsreceivingfreeschoolmealsinengland/initialfindingsonearningsoutcomesbydemographicandregionalfactors" TargetMode="External"/></Relationships>
</file>

<file path=word/theme/theme1.xml><?xml version="1.0" encoding="utf-8"?>
<a:theme xmlns:a="http://schemas.openxmlformats.org/drawingml/2006/main" name="Office Theme">
  <a:themeElements>
    <a:clrScheme name="Datalab">
      <a:dk1>
        <a:sysClr val="windowText" lastClr="000000"/>
      </a:dk1>
      <a:lt1>
        <a:sysClr val="window" lastClr="FFFFFF"/>
      </a:lt1>
      <a:dk2>
        <a:srgbClr val="535353"/>
      </a:dk2>
      <a:lt2>
        <a:srgbClr val="F3F3F3"/>
      </a:lt2>
      <a:accent1>
        <a:srgbClr val="E6007E"/>
      </a:accent1>
      <a:accent2>
        <a:srgbClr val="2DAAE1"/>
      </a:accent2>
      <a:accent3>
        <a:srgbClr val="96C11F"/>
      </a:accent3>
      <a:accent4>
        <a:srgbClr val="EFA2CC"/>
      </a:accent4>
      <a:accent5>
        <a:srgbClr val="B1DBED"/>
      </a:accent5>
      <a:accent6>
        <a:srgbClr val="D4E2A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DfE</b:Tag>
    <b:SourceType>InternetSite</b:SourceType>
    <b:Guid>{190CEFDA-684D-41BC-88E1-BBBBE2CC4018}</b:Guid>
    <b:Title>DfE performance tables</b:Title>
    <b:URL>https://explore-education-statistics.service.gov.uk/find-statistics/key-stage-4-performance-revised/2019-20</b:URL>
    <b:RefOrder>1</b:RefOrder>
  </b:Source>
</b:Sources>
</file>

<file path=customXml/itemProps1.xml><?xml version="1.0" encoding="utf-8"?>
<ds:datastoreItem xmlns:ds="http://schemas.openxmlformats.org/officeDocument/2006/customXml" ds:itemID="{2E93D322-641A-46A4-929E-D68B46A87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6355</Words>
  <Characters>36229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PRE-PUBLICATION NOT TO BE SHARED OUTSIDE NORTHERN POWERHOUSE PARTNERSHIP</vt:lpstr>
    </vt:vector>
  </TitlesOfParts>
  <Company/>
  <LinksUpToDate>false</LinksUpToDate>
  <CharactersWithSpaces>42500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PRE-PUBLICATION NOT TO BE SHARED OUTSIDE NORTHERN POWERHOUSE PARTNERSHIP</dc:title>
  <dc:subject/>
  <dc:creator>Katie Beynon</dc:creator>
  <cp:keywords/>
  <dc:description/>
  <cp:lastModifiedBy>Katie Beynon</cp:lastModifiedBy>
  <cp:revision>3</cp:revision>
  <dcterms:created xsi:type="dcterms:W3CDTF">2022-11-17T10:22:00Z</dcterms:created>
  <dcterms:modified xsi:type="dcterms:W3CDTF">2022-11-17T10:23:00Z</dcterms:modified>
</cp:coreProperties>
</file>