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E01C" w14:textId="44AD7C9A" w:rsidR="00CB378E" w:rsidRDefault="00D72ACA" w:rsidP="00D72ACA">
      <w:pPr>
        <w:pStyle w:val="Heading1"/>
        <w:rPr>
          <w:lang w:val="en-US"/>
        </w:rPr>
      </w:pPr>
      <w:r>
        <w:rPr>
          <w:lang w:val="en-US"/>
        </w:rPr>
        <w:t xml:space="preserve">Performance Measures for AP schools: </w:t>
      </w:r>
      <w:r w:rsidR="00DE0E65">
        <w:rPr>
          <w:lang w:val="en-US"/>
        </w:rPr>
        <w:t>Re-integration 2023</w:t>
      </w:r>
    </w:p>
    <w:p w14:paraId="4817290A" w14:textId="24818A2A" w:rsidR="00D72ACA" w:rsidRDefault="00D72ACA" w:rsidP="00435BAB">
      <w:pPr>
        <w:rPr>
          <w:lang w:val="en-US"/>
        </w:rPr>
      </w:pPr>
      <w:r>
        <w:rPr>
          <w:lang w:val="en-US"/>
        </w:rPr>
        <w:t>In a previous article</w:t>
      </w:r>
      <w:r w:rsidR="00435BAB">
        <w:rPr>
          <w:lang w:val="en-US"/>
        </w:rPr>
        <w:t>s we set out some suggestions for developing a range of performance measures for Alternative Provision (AP) schools.</w:t>
      </w:r>
    </w:p>
    <w:p w14:paraId="189E4467" w14:textId="672E1DDF" w:rsidR="00435BAB" w:rsidRDefault="00435BAB" w:rsidP="00435BAB">
      <w:pPr>
        <w:rPr>
          <w:lang w:val="en-US"/>
        </w:rPr>
      </w:pPr>
      <w:r>
        <w:rPr>
          <w:lang w:val="en-US"/>
        </w:rPr>
        <w:t xml:space="preserve">Firstly, we calculated </w:t>
      </w:r>
      <w:hyperlink r:id="rId5" w:history="1">
        <w:r w:rsidRPr="00B41B18">
          <w:rPr>
            <w:rStyle w:val="Hyperlink"/>
            <w:lang w:val="en-US"/>
          </w:rPr>
          <w:t>a range of attainment measures</w:t>
        </w:r>
      </w:hyperlink>
      <w:r>
        <w:rPr>
          <w:lang w:val="en-US"/>
        </w:rPr>
        <w:t xml:space="preserve">, including </w:t>
      </w:r>
      <w:hyperlink r:id="rId6" w:history="1">
        <w:r w:rsidRPr="00B41B18">
          <w:rPr>
            <w:rStyle w:val="Hyperlink"/>
            <w:lang w:val="en-US"/>
          </w:rPr>
          <w:t>Progress 5</w:t>
        </w:r>
      </w:hyperlink>
      <w:r>
        <w:rPr>
          <w:lang w:val="en-US"/>
        </w:rPr>
        <w:t>, based on all approved qualifications.</w:t>
      </w:r>
    </w:p>
    <w:p w14:paraId="46285891" w14:textId="2B9B8278" w:rsidR="00435BAB" w:rsidRDefault="00435BAB" w:rsidP="00435BAB">
      <w:pPr>
        <w:rPr>
          <w:lang w:val="en-US"/>
        </w:rPr>
      </w:pPr>
      <w:r>
        <w:rPr>
          <w:lang w:val="en-US"/>
        </w:rPr>
        <w:t xml:space="preserve">Secondly, we produced </w:t>
      </w:r>
      <w:hyperlink r:id="rId7" w:history="1">
        <w:r w:rsidRPr="00B41B18">
          <w:rPr>
            <w:rStyle w:val="Hyperlink"/>
            <w:lang w:val="en-US"/>
          </w:rPr>
          <w:t>a range of other measures</w:t>
        </w:r>
      </w:hyperlink>
      <w:r>
        <w:rPr>
          <w:lang w:val="en-US"/>
        </w:rPr>
        <w:t>, including re-integration, post-16 destinations and absence.</w:t>
      </w:r>
    </w:p>
    <w:p w14:paraId="6617635C" w14:textId="1657A1E0" w:rsidR="00435BAB" w:rsidRDefault="00435BAB" w:rsidP="00435BAB">
      <w:pPr>
        <w:rPr>
          <w:lang w:val="en-US"/>
        </w:rPr>
      </w:pPr>
      <w:r>
        <w:rPr>
          <w:lang w:val="en-US"/>
        </w:rPr>
        <w:t>In the rest of the article we look at the re-integration measure in more depth.</w:t>
      </w:r>
    </w:p>
    <w:p w14:paraId="3B8E4C2F" w14:textId="77777777" w:rsidR="00D72ACA" w:rsidRDefault="00D72ACA" w:rsidP="00D72ACA">
      <w:pPr>
        <w:pStyle w:val="Heading3"/>
        <w:rPr>
          <w:lang w:val="en-US"/>
        </w:rPr>
      </w:pPr>
      <w:r>
        <w:rPr>
          <w:lang w:val="en-US"/>
        </w:rPr>
        <w:t>Data</w:t>
      </w:r>
    </w:p>
    <w:p w14:paraId="5D0D81F6" w14:textId="74E18797" w:rsidR="00D72ACA" w:rsidRDefault="009F6D6E" w:rsidP="00D72ACA">
      <w:pPr>
        <w:rPr>
          <w:lang w:val="en-US"/>
        </w:rPr>
      </w:pPr>
      <w:r>
        <w:rPr>
          <w:lang w:val="en-US"/>
        </w:rPr>
        <w:t>We use data from the National Pupil Database (NPD), specifically termly School Census data.</w:t>
      </w:r>
    </w:p>
    <w:p w14:paraId="6A3FA0DE" w14:textId="77777777" w:rsidR="00D72ACA" w:rsidRDefault="00D72ACA" w:rsidP="00D72ACA">
      <w:pPr>
        <w:rPr>
          <w:lang w:val="en-US"/>
        </w:rPr>
      </w:pPr>
      <w:r>
        <w:rPr>
          <w:lang w:val="en-US"/>
        </w:rPr>
        <w:t>School Census is a census of all pupils enrolled in state-funded schools in England. It is carried out every term, and also includes information on any pupils who leave a school between censuses.</w:t>
      </w:r>
    </w:p>
    <w:p w14:paraId="1B31F303" w14:textId="07E8F776" w:rsidR="00D72ACA" w:rsidRDefault="00D72ACA" w:rsidP="00D72ACA">
      <w:pPr>
        <w:rPr>
          <w:lang w:val="en-US"/>
        </w:rPr>
      </w:pPr>
      <w:r>
        <w:rPr>
          <w:lang w:val="en-US"/>
        </w:rPr>
        <w:t xml:space="preserve">We use School Census to identify all pupils who attend AP schools </w:t>
      </w:r>
      <w:r w:rsidR="006A63FD">
        <w:rPr>
          <w:lang w:val="en-US"/>
        </w:rPr>
        <w:t xml:space="preserve">in a given year. </w:t>
      </w:r>
    </w:p>
    <w:p w14:paraId="66447AE7" w14:textId="58336623" w:rsidR="006A63FD" w:rsidRDefault="00C24132" w:rsidP="00D72ACA">
      <w:pPr>
        <w:rPr>
          <w:lang w:val="en-US"/>
        </w:rPr>
      </w:pPr>
      <w:r>
        <w:rPr>
          <w:lang w:val="en-US"/>
        </w:rPr>
        <w:t>For pupils who were in Years 7 to 9 in 202</w:t>
      </w:r>
      <w:r w:rsidR="009F6D6E">
        <w:rPr>
          <w:lang w:val="en-US"/>
        </w:rPr>
        <w:t>1</w:t>
      </w:r>
      <w:r>
        <w:rPr>
          <w:lang w:val="en-US"/>
        </w:rPr>
        <w:t>/2</w:t>
      </w:r>
      <w:r w:rsidR="009F6D6E">
        <w:rPr>
          <w:lang w:val="en-US"/>
        </w:rPr>
        <w:t>2</w:t>
      </w:r>
      <w:r>
        <w:rPr>
          <w:lang w:val="en-US"/>
        </w:rPr>
        <w:t>, we observe their enrolments in the</w:t>
      </w:r>
      <w:r w:rsidR="00C21396">
        <w:rPr>
          <w:lang w:val="en-US"/>
        </w:rPr>
        <w:t xml:space="preserve"> following</w:t>
      </w:r>
      <w:r>
        <w:rPr>
          <w:lang w:val="en-US"/>
        </w:rPr>
        <w:t xml:space="preserve"> academic year</w:t>
      </w:r>
      <w:r w:rsidR="00C21396">
        <w:rPr>
          <w:lang w:val="en-US"/>
        </w:rPr>
        <w:t xml:space="preserve"> (2022/23)</w:t>
      </w:r>
      <w:r>
        <w:rPr>
          <w:lang w:val="en-US"/>
        </w:rPr>
        <w:t xml:space="preserve"> up to the Summer School Census (the middle of May).</w:t>
      </w:r>
    </w:p>
    <w:p w14:paraId="6C2BCE53" w14:textId="46E23756" w:rsidR="00C24132" w:rsidRDefault="00C24132" w:rsidP="00D72ACA">
      <w:pPr>
        <w:rPr>
          <w:lang w:val="en-US"/>
        </w:rPr>
      </w:pPr>
      <w:r>
        <w:rPr>
          <w:lang w:val="en-US"/>
        </w:rPr>
        <w:t xml:space="preserve">Any pupils observed on roll of a mainstream or special school for at least </w:t>
      </w:r>
      <w:r w:rsidR="00272B16">
        <w:rPr>
          <w:lang w:val="en-US"/>
        </w:rPr>
        <w:t>180 days</w:t>
      </w:r>
      <w:r>
        <w:rPr>
          <w:lang w:val="en-US"/>
        </w:rPr>
        <w:t xml:space="preserve"> or more is considered to have been re-integrated provided that no </w:t>
      </w:r>
      <w:r w:rsidR="00272B16">
        <w:rPr>
          <w:lang w:val="en-US"/>
        </w:rPr>
        <w:t>enrolments in AP schools are observed during that time. We also use the Local Authority Alternative Provision (LAAP) Census to identify any other placements outside the state-funded school sector although the limitation of this is that it is only observed once a year (in January).</w:t>
      </w:r>
    </w:p>
    <w:p w14:paraId="29298342" w14:textId="3E59E565" w:rsidR="00C21396" w:rsidRDefault="00C21396" w:rsidP="00D72ACA">
      <w:pPr>
        <w:rPr>
          <w:lang w:val="en-US"/>
        </w:rPr>
      </w:pPr>
      <w:r>
        <w:rPr>
          <w:lang w:val="en-US"/>
        </w:rPr>
        <w:t xml:space="preserve">We do not calculate re-integration for pupils in Year 10 or Year 11. </w:t>
      </w:r>
    </w:p>
    <w:p w14:paraId="19C228AA" w14:textId="2D9DE52F" w:rsidR="00C21396" w:rsidRDefault="00C21396" w:rsidP="00D72ACA">
      <w:pPr>
        <w:rPr>
          <w:lang w:val="en-US"/>
        </w:rPr>
      </w:pPr>
      <w:r>
        <w:rPr>
          <w:lang w:val="en-US"/>
        </w:rPr>
        <w:t xml:space="preserve">It is </w:t>
      </w:r>
      <w:r w:rsidR="00B41B18">
        <w:rPr>
          <w:lang w:val="en-US"/>
        </w:rPr>
        <w:t>less common</w:t>
      </w:r>
      <w:r>
        <w:rPr>
          <w:lang w:val="en-US"/>
        </w:rPr>
        <w:t xml:space="preserve"> for Year 10 pupils to be re-integrated.</w:t>
      </w:r>
    </w:p>
    <w:p w14:paraId="6F71CA49" w14:textId="08B90DFA" w:rsidR="00C21396" w:rsidRDefault="00C21396" w:rsidP="00D72ACA">
      <w:pPr>
        <w:rPr>
          <w:lang w:val="en-US"/>
        </w:rPr>
      </w:pPr>
      <w:r>
        <w:rPr>
          <w:lang w:val="en-US"/>
        </w:rPr>
        <w:t>In the case of Year 11 pupils, the reason for this is that they reach school-leaving age and, bar a few individuals who join school sixth forms, we would not expect them to be on roll in mainstream schools the following year. Instead we measure post-16 destinations. We will provide updated destination statistics later in the year.</w:t>
      </w:r>
    </w:p>
    <w:p w14:paraId="54BFB8A1" w14:textId="30BEB59B" w:rsidR="00272B16" w:rsidRDefault="00C21396" w:rsidP="006830E7">
      <w:pPr>
        <w:pStyle w:val="Heading3"/>
        <w:rPr>
          <w:lang w:val="en-US"/>
        </w:rPr>
      </w:pPr>
      <w:r>
        <w:rPr>
          <w:lang w:val="en-US"/>
        </w:rPr>
        <w:t>Defining</w:t>
      </w:r>
      <w:r w:rsidR="00272B16">
        <w:rPr>
          <w:lang w:val="en-US"/>
        </w:rPr>
        <w:t xml:space="preserve"> Re-integration</w:t>
      </w:r>
    </w:p>
    <w:p w14:paraId="6C9A3A76" w14:textId="6A2840D1" w:rsidR="00C21396" w:rsidRDefault="00C21396" w:rsidP="00D72ACA">
      <w:pPr>
        <w:rPr>
          <w:lang w:val="en-US"/>
        </w:rPr>
      </w:pPr>
      <w:r>
        <w:rPr>
          <w:lang w:val="en-US"/>
        </w:rPr>
        <w:t>We illustrate how we define re-integration using some examples.</w:t>
      </w:r>
    </w:p>
    <w:p w14:paraId="5A1ACF7B" w14:textId="1F49C86A" w:rsidR="00272B16" w:rsidRDefault="00272B16" w:rsidP="00D72ACA">
      <w:pPr>
        <w:rPr>
          <w:lang w:val="en-US"/>
        </w:rPr>
      </w:pPr>
      <w:r>
        <w:rPr>
          <w:lang w:val="en-US"/>
        </w:rPr>
        <w:t>Pupil A spent time in an AP school</w:t>
      </w:r>
      <w:r w:rsidR="007420C0">
        <w:rPr>
          <w:lang w:val="en-US"/>
        </w:rPr>
        <w:t xml:space="preserve"> as a dual-rolled pupil</w:t>
      </w:r>
      <w:r>
        <w:rPr>
          <w:lang w:val="en-US"/>
        </w:rPr>
        <w:t xml:space="preserve"> in 2020/21</w:t>
      </w:r>
      <w:r w:rsidR="007420C0">
        <w:rPr>
          <w:lang w:val="en-US"/>
        </w:rPr>
        <w:t xml:space="preserve"> having joined their mainstream school in September 2018. From March 2021 they returned full-time to the mainstream sector, in which they</w:t>
      </w:r>
      <w:r>
        <w:rPr>
          <w:lang w:val="en-US"/>
        </w:rPr>
        <w:t xml:space="preserve"> were enrolled continuously for the whole </w:t>
      </w:r>
      <w:r w:rsidR="007420C0">
        <w:rPr>
          <w:lang w:val="en-US"/>
        </w:rPr>
        <w:t>of 2021/22</w:t>
      </w:r>
      <w:r>
        <w:rPr>
          <w:lang w:val="en-US"/>
        </w:rPr>
        <w:t>. They had no overlapping spells in AP schools</w:t>
      </w:r>
      <w:r w:rsidR="007420C0">
        <w:rPr>
          <w:lang w:val="en-US"/>
        </w:rPr>
        <w:t xml:space="preserve"> in 2021/22</w:t>
      </w:r>
      <w:r>
        <w:rPr>
          <w:lang w:val="en-US"/>
        </w:rPr>
        <w:t xml:space="preserve"> and so are considered to have been re-integrated.</w:t>
      </w:r>
    </w:p>
    <w:tbl>
      <w:tblPr>
        <w:tblStyle w:val="TableGrid"/>
        <w:tblW w:w="0" w:type="auto"/>
        <w:tblLook w:val="04A0" w:firstRow="1" w:lastRow="0" w:firstColumn="1" w:lastColumn="0" w:noHBand="0" w:noVBand="1"/>
      </w:tblPr>
      <w:tblGrid>
        <w:gridCol w:w="1558"/>
        <w:gridCol w:w="1824"/>
        <w:gridCol w:w="1928"/>
        <w:gridCol w:w="1919"/>
        <w:gridCol w:w="1787"/>
      </w:tblGrid>
      <w:tr w:rsidR="00272B16" w14:paraId="33E54C95" w14:textId="77777777" w:rsidTr="00272B16">
        <w:tc>
          <w:tcPr>
            <w:tcW w:w="1558" w:type="dxa"/>
          </w:tcPr>
          <w:p w14:paraId="5196771A" w14:textId="77777777" w:rsidR="00272B16" w:rsidRDefault="00272B16" w:rsidP="00272B16">
            <w:pPr>
              <w:jc w:val="center"/>
              <w:rPr>
                <w:lang w:val="en-US"/>
              </w:rPr>
            </w:pPr>
            <w:r>
              <w:rPr>
                <w:lang w:val="en-US"/>
              </w:rPr>
              <w:t>Pupil</w:t>
            </w:r>
          </w:p>
        </w:tc>
        <w:tc>
          <w:tcPr>
            <w:tcW w:w="1824" w:type="dxa"/>
          </w:tcPr>
          <w:p w14:paraId="1463FCFC" w14:textId="77777777" w:rsidR="00272B16" w:rsidRDefault="00272B16" w:rsidP="00272B16">
            <w:pPr>
              <w:jc w:val="center"/>
              <w:rPr>
                <w:lang w:val="en-US"/>
              </w:rPr>
            </w:pPr>
            <w:r>
              <w:rPr>
                <w:lang w:val="en-US"/>
              </w:rPr>
              <w:t>LAESTAB</w:t>
            </w:r>
          </w:p>
        </w:tc>
        <w:tc>
          <w:tcPr>
            <w:tcW w:w="1928" w:type="dxa"/>
          </w:tcPr>
          <w:p w14:paraId="5AED0F89" w14:textId="77777777" w:rsidR="00272B16" w:rsidRDefault="00272B16" w:rsidP="00D72ACA">
            <w:pPr>
              <w:rPr>
                <w:lang w:val="en-US"/>
              </w:rPr>
            </w:pPr>
            <w:r>
              <w:rPr>
                <w:lang w:val="en-US"/>
              </w:rPr>
              <w:t>Type of School</w:t>
            </w:r>
          </w:p>
        </w:tc>
        <w:tc>
          <w:tcPr>
            <w:tcW w:w="1919" w:type="dxa"/>
          </w:tcPr>
          <w:p w14:paraId="5379D941" w14:textId="77777777" w:rsidR="00272B16" w:rsidRDefault="00272B16" w:rsidP="00D72ACA">
            <w:pPr>
              <w:rPr>
                <w:lang w:val="en-US"/>
              </w:rPr>
            </w:pPr>
            <w:r>
              <w:rPr>
                <w:lang w:val="en-US"/>
              </w:rPr>
              <w:t>Entry Date</w:t>
            </w:r>
          </w:p>
        </w:tc>
        <w:tc>
          <w:tcPr>
            <w:tcW w:w="1787" w:type="dxa"/>
          </w:tcPr>
          <w:p w14:paraId="04906E54" w14:textId="77777777" w:rsidR="00272B16" w:rsidRDefault="00272B16" w:rsidP="00D72ACA">
            <w:pPr>
              <w:rPr>
                <w:lang w:val="en-US"/>
              </w:rPr>
            </w:pPr>
            <w:r>
              <w:rPr>
                <w:lang w:val="en-US"/>
              </w:rPr>
              <w:t>Leaving Date</w:t>
            </w:r>
          </w:p>
        </w:tc>
      </w:tr>
      <w:tr w:rsidR="00272B16" w14:paraId="71151233" w14:textId="77777777" w:rsidTr="00272B16">
        <w:tc>
          <w:tcPr>
            <w:tcW w:w="1558" w:type="dxa"/>
          </w:tcPr>
          <w:p w14:paraId="7EB7AF37" w14:textId="77777777" w:rsidR="00272B16" w:rsidRDefault="00272B16" w:rsidP="00272B16">
            <w:pPr>
              <w:jc w:val="center"/>
              <w:rPr>
                <w:lang w:val="en-US"/>
              </w:rPr>
            </w:pPr>
            <w:r>
              <w:rPr>
                <w:lang w:val="en-US"/>
              </w:rPr>
              <w:t>A</w:t>
            </w:r>
          </w:p>
        </w:tc>
        <w:tc>
          <w:tcPr>
            <w:tcW w:w="1824" w:type="dxa"/>
          </w:tcPr>
          <w:p w14:paraId="67C9CEEF" w14:textId="77777777" w:rsidR="00272B16" w:rsidRDefault="00272B16" w:rsidP="00272B16">
            <w:pPr>
              <w:jc w:val="center"/>
              <w:rPr>
                <w:lang w:val="en-US"/>
              </w:rPr>
            </w:pPr>
            <w:r>
              <w:rPr>
                <w:lang w:val="en-US"/>
              </w:rPr>
              <w:t>9994002</w:t>
            </w:r>
          </w:p>
        </w:tc>
        <w:tc>
          <w:tcPr>
            <w:tcW w:w="1928" w:type="dxa"/>
          </w:tcPr>
          <w:p w14:paraId="44148DB3" w14:textId="77777777" w:rsidR="00272B16" w:rsidRDefault="00272B16" w:rsidP="00D72ACA">
            <w:pPr>
              <w:rPr>
                <w:lang w:val="en-US"/>
              </w:rPr>
            </w:pPr>
            <w:r>
              <w:rPr>
                <w:lang w:val="en-US"/>
              </w:rPr>
              <w:t>Mainstream</w:t>
            </w:r>
          </w:p>
        </w:tc>
        <w:tc>
          <w:tcPr>
            <w:tcW w:w="1919" w:type="dxa"/>
          </w:tcPr>
          <w:p w14:paraId="638CF4ED" w14:textId="77777777" w:rsidR="00272B16" w:rsidRDefault="007420C0" w:rsidP="00D72ACA">
            <w:pPr>
              <w:rPr>
                <w:lang w:val="en-US"/>
              </w:rPr>
            </w:pPr>
            <w:r>
              <w:rPr>
                <w:lang w:val="en-US"/>
              </w:rPr>
              <w:t>03/09/2018</w:t>
            </w:r>
          </w:p>
        </w:tc>
        <w:tc>
          <w:tcPr>
            <w:tcW w:w="1787" w:type="dxa"/>
          </w:tcPr>
          <w:p w14:paraId="319D0D54" w14:textId="77777777" w:rsidR="00272B16" w:rsidRDefault="00272B16" w:rsidP="00D72ACA">
            <w:pPr>
              <w:rPr>
                <w:lang w:val="en-US"/>
              </w:rPr>
            </w:pPr>
            <w:r>
              <w:rPr>
                <w:lang w:val="en-US"/>
              </w:rPr>
              <w:t>-</w:t>
            </w:r>
          </w:p>
        </w:tc>
      </w:tr>
      <w:tr w:rsidR="007420C0" w14:paraId="5F5CC9A5" w14:textId="77777777" w:rsidTr="00272B16">
        <w:tc>
          <w:tcPr>
            <w:tcW w:w="1558" w:type="dxa"/>
          </w:tcPr>
          <w:p w14:paraId="506821B1" w14:textId="77777777" w:rsidR="007420C0" w:rsidRDefault="007420C0" w:rsidP="00272B16">
            <w:pPr>
              <w:jc w:val="center"/>
              <w:rPr>
                <w:lang w:val="en-US"/>
              </w:rPr>
            </w:pPr>
            <w:r>
              <w:rPr>
                <w:lang w:val="en-US"/>
              </w:rPr>
              <w:t>A</w:t>
            </w:r>
          </w:p>
        </w:tc>
        <w:tc>
          <w:tcPr>
            <w:tcW w:w="1824" w:type="dxa"/>
          </w:tcPr>
          <w:p w14:paraId="45E1642F" w14:textId="77777777" w:rsidR="007420C0" w:rsidRDefault="007420C0" w:rsidP="00272B16">
            <w:pPr>
              <w:jc w:val="center"/>
              <w:rPr>
                <w:lang w:val="en-US"/>
              </w:rPr>
            </w:pPr>
            <w:r>
              <w:rPr>
                <w:lang w:val="en-US"/>
              </w:rPr>
              <w:t>9991102</w:t>
            </w:r>
          </w:p>
        </w:tc>
        <w:tc>
          <w:tcPr>
            <w:tcW w:w="1928" w:type="dxa"/>
          </w:tcPr>
          <w:p w14:paraId="72CD3397" w14:textId="77777777" w:rsidR="007420C0" w:rsidRDefault="007420C0" w:rsidP="00D72ACA">
            <w:pPr>
              <w:rPr>
                <w:lang w:val="en-US"/>
              </w:rPr>
            </w:pPr>
            <w:r>
              <w:rPr>
                <w:lang w:val="en-US"/>
              </w:rPr>
              <w:t>AP</w:t>
            </w:r>
          </w:p>
        </w:tc>
        <w:tc>
          <w:tcPr>
            <w:tcW w:w="1919" w:type="dxa"/>
          </w:tcPr>
          <w:p w14:paraId="454123DD" w14:textId="77777777" w:rsidR="007420C0" w:rsidRDefault="007420C0" w:rsidP="00D72ACA">
            <w:pPr>
              <w:rPr>
                <w:lang w:val="en-US"/>
              </w:rPr>
            </w:pPr>
            <w:r>
              <w:rPr>
                <w:lang w:val="en-US"/>
              </w:rPr>
              <w:t>03/10/2020</w:t>
            </w:r>
          </w:p>
        </w:tc>
        <w:tc>
          <w:tcPr>
            <w:tcW w:w="1787" w:type="dxa"/>
          </w:tcPr>
          <w:p w14:paraId="6F09A070" w14:textId="77777777" w:rsidR="007420C0" w:rsidRDefault="007420C0" w:rsidP="00D72ACA">
            <w:pPr>
              <w:rPr>
                <w:lang w:val="en-US"/>
              </w:rPr>
            </w:pPr>
            <w:r>
              <w:rPr>
                <w:lang w:val="en-US"/>
              </w:rPr>
              <w:t>24/03/2021</w:t>
            </w:r>
          </w:p>
        </w:tc>
      </w:tr>
    </w:tbl>
    <w:p w14:paraId="05B09A95" w14:textId="77777777" w:rsidR="00272B16" w:rsidRDefault="00272B16" w:rsidP="00D72ACA">
      <w:pPr>
        <w:rPr>
          <w:lang w:val="en-US"/>
        </w:rPr>
      </w:pPr>
    </w:p>
    <w:p w14:paraId="6326FF39" w14:textId="77777777" w:rsidR="00272B16" w:rsidRDefault="00272B16" w:rsidP="00D72ACA">
      <w:pPr>
        <w:rPr>
          <w:lang w:val="en-US"/>
        </w:rPr>
      </w:pPr>
      <w:r>
        <w:rPr>
          <w:lang w:val="en-US"/>
        </w:rPr>
        <w:t>Pupil B</w:t>
      </w:r>
      <w:r w:rsidR="007420C0">
        <w:rPr>
          <w:lang w:val="en-US"/>
        </w:rPr>
        <w:t xml:space="preserve"> also spent time in an AP school in 2020/21. They joined a mainstream school in September 2021</w:t>
      </w:r>
      <w:r w:rsidR="00223B75">
        <w:rPr>
          <w:lang w:val="en-US"/>
        </w:rPr>
        <w:t xml:space="preserve"> but continued to attend an AP school for a short period. They then had </w:t>
      </w:r>
      <w:r w:rsidR="007420C0">
        <w:rPr>
          <w:lang w:val="en-US"/>
        </w:rPr>
        <w:t xml:space="preserve">no further </w:t>
      </w:r>
      <w:r w:rsidR="00223B75">
        <w:rPr>
          <w:lang w:val="en-US"/>
        </w:rPr>
        <w:t xml:space="preserve">AP </w:t>
      </w:r>
      <w:r w:rsidR="007420C0">
        <w:rPr>
          <w:lang w:val="en-US"/>
        </w:rPr>
        <w:lastRenderedPageBreak/>
        <w:t>placements. For the purposes of calculating re-integration, we measure the time period between the last day they attended AP (22/10/2021) and the date of the Summer School Census (19/05/2022). As this is more than 180 days, Pupil B is also considered to have been re-integrated.</w:t>
      </w:r>
    </w:p>
    <w:tbl>
      <w:tblPr>
        <w:tblStyle w:val="TableGrid"/>
        <w:tblW w:w="0" w:type="auto"/>
        <w:tblLook w:val="04A0" w:firstRow="1" w:lastRow="0" w:firstColumn="1" w:lastColumn="0" w:noHBand="0" w:noVBand="1"/>
      </w:tblPr>
      <w:tblGrid>
        <w:gridCol w:w="1558"/>
        <w:gridCol w:w="1824"/>
        <w:gridCol w:w="1928"/>
        <w:gridCol w:w="1919"/>
        <w:gridCol w:w="1787"/>
      </w:tblGrid>
      <w:tr w:rsidR="00272B16" w14:paraId="460AA3F7" w14:textId="77777777" w:rsidTr="00D2741B">
        <w:tc>
          <w:tcPr>
            <w:tcW w:w="1558" w:type="dxa"/>
          </w:tcPr>
          <w:p w14:paraId="6A1A1747" w14:textId="77777777" w:rsidR="00272B16" w:rsidRDefault="00272B16" w:rsidP="00D2741B">
            <w:pPr>
              <w:jc w:val="center"/>
              <w:rPr>
                <w:lang w:val="en-US"/>
              </w:rPr>
            </w:pPr>
            <w:r>
              <w:rPr>
                <w:lang w:val="en-US"/>
              </w:rPr>
              <w:t>Pupil</w:t>
            </w:r>
          </w:p>
        </w:tc>
        <w:tc>
          <w:tcPr>
            <w:tcW w:w="1824" w:type="dxa"/>
          </w:tcPr>
          <w:p w14:paraId="05FBFC60" w14:textId="77777777" w:rsidR="00272B16" w:rsidRDefault="00272B16" w:rsidP="00D2741B">
            <w:pPr>
              <w:jc w:val="center"/>
              <w:rPr>
                <w:lang w:val="en-US"/>
              </w:rPr>
            </w:pPr>
            <w:r>
              <w:rPr>
                <w:lang w:val="en-US"/>
              </w:rPr>
              <w:t>LAESTAB</w:t>
            </w:r>
          </w:p>
        </w:tc>
        <w:tc>
          <w:tcPr>
            <w:tcW w:w="1928" w:type="dxa"/>
          </w:tcPr>
          <w:p w14:paraId="2F0DB2D6" w14:textId="77777777" w:rsidR="00272B16" w:rsidRDefault="00272B16" w:rsidP="00D2741B">
            <w:pPr>
              <w:rPr>
                <w:lang w:val="en-US"/>
              </w:rPr>
            </w:pPr>
            <w:r>
              <w:rPr>
                <w:lang w:val="en-US"/>
              </w:rPr>
              <w:t>Type of School</w:t>
            </w:r>
          </w:p>
        </w:tc>
        <w:tc>
          <w:tcPr>
            <w:tcW w:w="1919" w:type="dxa"/>
          </w:tcPr>
          <w:p w14:paraId="3B928BEB" w14:textId="77777777" w:rsidR="00272B16" w:rsidRDefault="00272B16" w:rsidP="00D2741B">
            <w:pPr>
              <w:rPr>
                <w:lang w:val="en-US"/>
              </w:rPr>
            </w:pPr>
            <w:r>
              <w:rPr>
                <w:lang w:val="en-US"/>
              </w:rPr>
              <w:t>Entry Date</w:t>
            </w:r>
          </w:p>
        </w:tc>
        <w:tc>
          <w:tcPr>
            <w:tcW w:w="1787" w:type="dxa"/>
          </w:tcPr>
          <w:p w14:paraId="000E777D" w14:textId="77777777" w:rsidR="00272B16" w:rsidRDefault="00272B16" w:rsidP="00D2741B">
            <w:pPr>
              <w:rPr>
                <w:lang w:val="en-US"/>
              </w:rPr>
            </w:pPr>
            <w:r>
              <w:rPr>
                <w:lang w:val="en-US"/>
              </w:rPr>
              <w:t>Leaving Date</w:t>
            </w:r>
          </w:p>
        </w:tc>
      </w:tr>
      <w:tr w:rsidR="007420C0" w14:paraId="0EC6E05F" w14:textId="77777777" w:rsidTr="00D2741B">
        <w:tc>
          <w:tcPr>
            <w:tcW w:w="1558" w:type="dxa"/>
          </w:tcPr>
          <w:p w14:paraId="2141255B" w14:textId="77777777" w:rsidR="007420C0" w:rsidRDefault="007420C0" w:rsidP="007420C0">
            <w:pPr>
              <w:jc w:val="center"/>
              <w:rPr>
                <w:lang w:val="en-US"/>
              </w:rPr>
            </w:pPr>
            <w:r>
              <w:rPr>
                <w:lang w:val="en-US"/>
              </w:rPr>
              <w:t>B</w:t>
            </w:r>
          </w:p>
        </w:tc>
        <w:tc>
          <w:tcPr>
            <w:tcW w:w="1824" w:type="dxa"/>
          </w:tcPr>
          <w:p w14:paraId="5B42E761" w14:textId="77777777" w:rsidR="007420C0" w:rsidRDefault="007420C0" w:rsidP="007420C0">
            <w:pPr>
              <w:jc w:val="center"/>
              <w:rPr>
                <w:lang w:val="en-US"/>
              </w:rPr>
            </w:pPr>
            <w:r>
              <w:rPr>
                <w:lang w:val="en-US"/>
              </w:rPr>
              <w:t>9991103</w:t>
            </w:r>
          </w:p>
        </w:tc>
        <w:tc>
          <w:tcPr>
            <w:tcW w:w="1928" w:type="dxa"/>
          </w:tcPr>
          <w:p w14:paraId="30B34D7B" w14:textId="77777777" w:rsidR="007420C0" w:rsidRDefault="007420C0" w:rsidP="007420C0">
            <w:pPr>
              <w:rPr>
                <w:lang w:val="en-US"/>
              </w:rPr>
            </w:pPr>
            <w:r>
              <w:rPr>
                <w:lang w:val="en-US"/>
              </w:rPr>
              <w:t>AP</w:t>
            </w:r>
          </w:p>
        </w:tc>
        <w:tc>
          <w:tcPr>
            <w:tcW w:w="1919" w:type="dxa"/>
          </w:tcPr>
          <w:p w14:paraId="69B027F8" w14:textId="77777777" w:rsidR="007420C0" w:rsidRDefault="00223B75" w:rsidP="00223B75">
            <w:pPr>
              <w:rPr>
                <w:lang w:val="en-US"/>
              </w:rPr>
            </w:pPr>
            <w:r>
              <w:rPr>
                <w:lang w:val="en-US"/>
              </w:rPr>
              <w:t>02</w:t>
            </w:r>
            <w:r w:rsidR="007420C0">
              <w:rPr>
                <w:lang w:val="en-US"/>
              </w:rPr>
              <w:t>/</w:t>
            </w:r>
            <w:r>
              <w:rPr>
                <w:lang w:val="en-US"/>
              </w:rPr>
              <w:t>09/2020</w:t>
            </w:r>
          </w:p>
        </w:tc>
        <w:tc>
          <w:tcPr>
            <w:tcW w:w="1787" w:type="dxa"/>
          </w:tcPr>
          <w:p w14:paraId="25FA4F74" w14:textId="77777777" w:rsidR="007420C0" w:rsidRDefault="007420C0" w:rsidP="007420C0">
            <w:pPr>
              <w:rPr>
                <w:lang w:val="en-US"/>
              </w:rPr>
            </w:pPr>
            <w:r>
              <w:rPr>
                <w:lang w:val="en-US"/>
              </w:rPr>
              <w:t>22/10/2021</w:t>
            </w:r>
          </w:p>
        </w:tc>
      </w:tr>
      <w:tr w:rsidR="007420C0" w14:paraId="35100957" w14:textId="77777777" w:rsidTr="00D2741B">
        <w:tc>
          <w:tcPr>
            <w:tcW w:w="1558" w:type="dxa"/>
          </w:tcPr>
          <w:p w14:paraId="7E9A5E12" w14:textId="77777777" w:rsidR="007420C0" w:rsidRDefault="007420C0" w:rsidP="007420C0">
            <w:pPr>
              <w:jc w:val="center"/>
              <w:rPr>
                <w:lang w:val="en-US"/>
              </w:rPr>
            </w:pPr>
            <w:r>
              <w:rPr>
                <w:lang w:val="en-US"/>
              </w:rPr>
              <w:t>B</w:t>
            </w:r>
          </w:p>
        </w:tc>
        <w:tc>
          <w:tcPr>
            <w:tcW w:w="1824" w:type="dxa"/>
          </w:tcPr>
          <w:p w14:paraId="0317D646" w14:textId="77777777" w:rsidR="007420C0" w:rsidRDefault="007420C0" w:rsidP="007420C0">
            <w:pPr>
              <w:jc w:val="center"/>
              <w:rPr>
                <w:lang w:val="en-US"/>
              </w:rPr>
            </w:pPr>
            <w:r>
              <w:rPr>
                <w:lang w:val="en-US"/>
              </w:rPr>
              <w:t>9994002</w:t>
            </w:r>
          </w:p>
        </w:tc>
        <w:tc>
          <w:tcPr>
            <w:tcW w:w="1928" w:type="dxa"/>
          </w:tcPr>
          <w:p w14:paraId="4483E71D" w14:textId="77777777" w:rsidR="007420C0" w:rsidRDefault="007420C0" w:rsidP="007420C0">
            <w:pPr>
              <w:rPr>
                <w:lang w:val="en-US"/>
              </w:rPr>
            </w:pPr>
            <w:r>
              <w:rPr>
                <w:lang w:val="en-US"/>
              </w:rPr>
              <w:t>Mainstream</w:t>
            </w:r>
          </w:p>
        </w:tc>
        <w:tc>
          <w:tcPr>
            <w:tcW w:w="1919" w:type="dxa"/>
          </w:tcPr>
          <w:p w14:paraId="13461969" w14:textId="77777777" w:rsidR="007420C0" w:rsidRDefault="007420C0" w:rsidP="007420C0">
            <w:pPr>
              <w:rPr>
                <w:lang w:val="en-US"/>
              </w:rPr>
            </w:pPr>
            <w:r>
              <w:rPr>
                <w:lang w:val="en-US"/>
              </w:rPr>
              <w:t>06/09/2021</w:t>
            </w:r>
          </w:p>
        </w:tc>
        <w:tc>
          <w:tcPr>
            <w:tcW w:w="1787" w:type="dxa"/>
          </w:tcPr>
          <w:p w14:paraId="03497B68" w14:textId="77777777" w:rsidR="007420C0" w:rsidRDefault="007420C0" w:rsidP="007420C0">
            <w:pPr>
              <w:rPr>
                <w:lang w:val="en-US"/>
              </w:rPr>
            </w:pPr>
            <w:r>
              <w:rPr>
                <w:lang w:val="en-US"/>
              </w:rPr>
              <w:t>-</w:t>
            </w:r>
          </w:p>
        </w:tc>
      </w:tr>
    </w:tbl>
    <w:p w14:paraId="4343302A" w14:textId="77777777" w:rsidR="006A63FD" w:rsidRPr="00D72ACA" w:rsidRDefault="006A63FD" w:rsidP="00D72ACA">
      <w:pPr>
        <w:rPr>
          <w:lang w:val="en-US"/>
        </w:rPr>
      </w:pPr>
    </w:p>
    <w:p w14:paraId="4272C285" w14:textId="7B37F961" w:rsidR="009C0861" w:rsidRDefault="009C0861" w:rsidP="009C0861">
      <w:pPr>
        <w:pStyle w:val="Heading3"/>
        <w:rPr>
          <w:lang w:val="en-US"/>
        </w:rPr>
      </w:pPr>
      <w:r>
        <w:rPr>
          <w:lang w:val="en-US"/>
        </w:rPr>
        <w:t>Results</w:t>
      </w:r>
    </w:p>
    <w:p w14:paraId="782CA3F5" w14:textId="77777777" w:rsidR="000D5599" w:rsidRDefault="0003599A">
      <w:pPr>
        <w:rPr>
          <w:lang w:val="en-US"/>
        </w:rPr>
      </w:pPr>
      <w:r>
        <w:rPr>
          <w:lang w:val="en-US"/>
        </w:rPr>
        <w:t>30% of</w:t>
      </w:r>
      <w:r w:rsidR="009C0861">
        <w:rPr>
          <w:lang w:val="en-US"/>
        </w:rPr>
        <w:t xml:space="preserve"> Key Stage 3 (Year 7 to Year 9) pupils on roll in state-funded AP schools in 202</w:t>
      </w:r>
      <w:r>
        <w:rPr>
          <w:lang w:val="en-US"/>
        </w:rPr>
        <w:t>1</w:t>
      </w:r>
      <w:r w:rsidR="009C0861">
        <w:rPr>
          <w:lang w:val="en-US"/>
        </w:rPr>
        <w:t>/2</w:t>
      </w:r>
      <w:r>
        <w:rPr>
          <w:lang w:val="en-US"/>
        </w:rPr>
        <w:t>2</w:t>
      </w:r>
      <w:r w:rsidR="009C0861">
        <w:rPr>
          <w:lang w:val="en-US"/>
        </w:rPr>
        <w:t xml:space="preserve"> </w:t>
      </w:r>
      <w:r>
        <w:rPr>
          <w:lang w:val="en-US"/>
        </w:rPr>
        <w:t xml:space="preserve">were re-integrated into mainstream by May of the following year. </w:t>
      </w:r>
    </w:p>
    <w:p w14:paraId="19444D06" w14:textId="2F735FBD" w:rsidR="009C0861" w:rsidRDefault="0003599A">
      <w:pPr>
        <w:rPr>
          <w:lang w:val="en-US"/>
        </w:rPr>
      </w:pPr>
      <w:r>
        <w:rPr>
          <w:lang w:val="en-US"/>
        </w:rPr>
        <w:t xml:space="preserve">This was slightly higher than the previous year (28%) although </w:t>
      </w:r>
      <w:r w:rsidR="000D5599">
        <w:rPr>
          <w:lang w:val="en-US"/>
        </w:rPr>
        <w:t>that cohort was more affected by the Covid-19 pandemic: 11,300 KS3 pupils attended AP schools in 2021/22 compared to 8,800 in 2020/21.</w:t>
      </w:r>
    </w:p>
    <w:p w14:paraId="20F2BEB6" w14:textId="4102FECB" w:rsidR="00B41B18" w:rsidRDefault="00B41B18">
      <w:pPr>
        <w:rPr>
          <w:lang w:val="en-US"/>
        </w:rPr>
      </w:pPr>
      <w:r>
        <w:rPr>
          <w:noProof/>
          <w:lang w:val="en-US"/>
        </w:rPr>
        <w:drawing>
          <wp:inline distT="0" distB="0" distL="0" distR="0" wp14:anchorId="2AF5849E" wp14:editId="4654641B">
            <wp:extent cx="5731510" cy="4160520"/>
            <wp:effectExtent l="0" t="0" r="2540" b="0"/>
            <wp:docPr id="1133722473" name="Picture 1" descr="A graph of pink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22473" name="Picture 1" descr="A graph of pink bars&#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4160520"/>
                    </a:xfrm>
                    <a:prstGeom prst="rect">
                      <a:avLst/>
                    </a:prstGeom>
                  </pic:spPr>
                </pic:pic>
              </a:graphicData>
            </a:graphic>
          </wp:inline>
        </w:drawing>
      </w:r>
    </w:p>
    <w:p w14:paraId="548ED7C6" w14:textId="1D6E0641" w:rsidR="00116DDA" w:rsidRDefault="00116DDA">
      <w:pPr>
        <w:rPr>
          <w:lang w:val="en-US"/>
        </w:rPr>
      </w:pPr>
      <w:r>
        <w:rPr>
          <w:lang w:val="en-US"/>
        </w:rPr>
        <w:t xml:space="preserve">Older pupils (those aged 14, i.e. those of Year 9 age) were </w:t>
      </w:r>
      <w:r w:rsidR="000D5599">
        <w:rPr>
          <w:lang w:val="en-US"/>
        </w:rPr>
        <w:t>slightly</w:t>
      </w:r>
      <w:r>
        <w:rPr>
          <w:lang w:val="en-US"/>
        </w:rPr>
        <w:t xml:space="preserve"> likely (2</w:t>
      </w:r>
      <w:r w:rsidR="000D5599">
        <w:rPr>
          <w:lang w:val="en-US"/>
        </w:rPr>
        <w:t>9</w:t>
      </w:r>
      <w:r>
        <w:rPr>
          <w:lang w:val="en-US"/>
        </w:rPr>
        <w:t>%) than younger pupils (32%</w:t>
      </w:r>
      <w:r w:rsidR="000D5599">
        <w:rPr>
          <w:lang w:val="en-US"/>
        </w:rPr>
        <w:t xml:space="preserve"> for Year 7 and 33% for Year 8</w:t>
      </w:r>
      <w:r>
        <w:rPr>
          <w:lang w:val="en-US"/>
        </w:rPr>
        <w:t>) to be re-integrated.</w:t>
      </w:r>
    </w:p>
    <w:p w14:paraId="37C74038" w14:textId="6F38101C" w:rsidR="000D5599" w:rsidRDefault="00683224">
      <w:pPr>
        <w:rPr>
          <w:lang w:val="en-US"/>
        </w:rPr>
      </w:pPr>
      <w:r>
        <w:rPr>
          <w:lang w:val="en-US"/>
        </w:rPr>
        <w:t>5,900 of the 11,300 (52%) KS3 pupils were on roll when the January School Census was taken in 2022</w:t>
      </w:r>
      <w:r w:rsidR="002C4666">
        <w:rPr>
          <w:lang w:val="en-US"/>
        </w:rPr>
        <w:t xml:space="preserve">. </w:t>
      </w:r>
    </w:p>
    <w:p w14:paraId="54CEF9E8" w14:textId="1F17DFDD" w:rsidR="002C4666" w:rsidRDefault="002C4666">
      <w:pPr>
        <w:rPr>
          <w:lang w:val="en-US"/>
        </w:rPr>
      </w:pPr>
      <w:r>
        <w:rPr>
          <w:lang w:val="en-US"/>
        </w:rPr>
        <w:t>Those who had a dual-subsidiary registration (i.e. attended an AP school part-time) were more likely to be re-integrated. In other words, the AP placement could have been a short-term placement. Pupils with a current enrolment status (i.e. those who attended an AP school full-time) were less likely to be re-integrated.</w:t>
      </w:r>
    </w:p>
    <w:p w14:paraId="71F3E684" w14:textId="2B640F5F" w:rsidR="002C4666" w:rsidRDefault="00B41B18">
      <w:pPr>
        <w:rPr>
          <w:lang w:val="en-US"/>
        </w:rPr>
      </w:pPr>
      <w:r>
        <w:rPr>
          <w:noProof/>
          <w:lang w:val="en-US"/>
        </w:rPr>
        <w:lastRenderedPageBreak/>
        <w:drawing>
          <wp:inline distT="0" distB="0" distL="0" distR="0" wp14:anchorId="38AE8215" wp14:editId="3B299C0D">
            <wp:extent cx="5731510" cy="4160520"/>
            <wp:effectExtent l="0" t="0" r="2540" b="0"/>
            <wp:docPr id="1767182966" name="Picture 2"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182966" name="Picture 2" descr="A graph of a graph&#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160520"/>
                    </a:xfrm>
                    <a:prstGeom prst="rect">
                      <a:avLst/>
                    </a:prstGeom>
                  </pic:spPr>
                </pic:pic>
              </a:graphicData>
            </a:graphic>
          </wp:inline>
        </w:drawing>
      </w:r>
    </w:p>
    <w:p w14:paraId="68A875BB" w14:textId="26FD0AAA" w:rsidR="009C0861" w:rsidRDefault="00E27C38">
      <w:pPr>
        <w:rPr>
          <w:lang w:val="en-US"/>
        </w:rPr>
      </w:pPr>
      <w:r>
        <w:rPr>
          <w:lang w:val="en-US"/>
        </w:rPr>
        <w:t xml:space="preserve">Pupils who had previously been permanently excluded and disadvantaged pupils were less likely to be re-integrated while those who had never previously been observed with special educational needs (SEN) were more likely to be re-integrated. </w:t>
      </w:r>
    </w:p>
    <w:p w14:paraId="5A38091B" w14:textId="184BBE66" w:rsidR="00E27C38" w:rsidRDefault="00E27C38">
      <w:pPr>
        <w:rPr>
          <w:lang w:val="en-US"/>
        </w:rPr>
      </w:pPr>
      <w:r>
        <w:rPr>
          <w:lang w:val="en-US"/>
        </w:rPr>
        <w:t>Re-integration rates of boys and girls were very similar although more boys were re-integrated since boys outnumber girls in the AP sector.</w:t>
      </w:r>
    </w:p>
    <w:p w14:paraId="2CD40CE0" w14:textId="593A3052" w:rsidR="006F00C4" w:rsidRDefault="00B41B18">
      <w:pPr>
        <w:rPr>
          <w:lang w:val="en-US"/>
        </w:rPr>
      </w:pPr>
      <w:r>
        <w:rPr>
          <w:noProof/>
          <w:lang w:val="en-US"/>
        </w:rPr>
        <w:lastRenderedPageBreak/>
        <w:drawing>
          <wp:inline distT="0" distB="0" distL="0" distR="0" wp14:anchorId="285CA038" wp14:editId="3BC62296">
            <wp:extent cx="5731510" cy="4160520"/>
            <wp:effectExtent l="0" t="0" r="2540" b="0"/>
            <wp:docPr id="707780563" name="Picture 3" descr="A graph of pink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780563" name="Picture 3" descr="A graph of pink bar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160520"/>
                    </a:xfrm>
                    <a:prstGeom prst="rect">
                      <a:avLst/>
                    </a:prstGeom>
                  </pic:spPr>
                </pic:pic>
              </a:graphicData>
            </a:graphic>
          </wp:inline>
        </w:drawing>
      </w:r>
    </w:p>
    <w:p w14:paraId="059F7023" w14:textId="7A65A845" w:rsidR="006F00C4" w:rsidRDefault="006F00C4">
      <w:pPr>
        <w:rPr>
          <w:lang w:val="en-US"/>
        </w:rPr>
      </w:pPr>
      <w:r>
        <w:rPr>
          <w:lang w:val="en-US"/>
        </w:rPr>
        <w:t xml:space="preserve">Further breakdowns by primary SEN type, ethnic background and region of residence are in the </w:t>
      </w:r>
      <w:hyperlink r:id="rId11" w:history="1">
        <w:r w:rsidRPr="00DE0E65">
          <w:rPr>
            <w:rStyle w:val="Hyperlink"/>
            <w:lang w:val="en-US"/>
          </w:rPr>
          <w:t>annex</w:t>
        </w:r>
      </w:hyperlink>
      <w:r>
        <w:rPr>
          <w:lang w:val="en-US"/>
        </w:rPr>
        <w:t>.</w:t>
      </w:r>
    </w:p>
    <w:p w14:paraId="5A07F7A4" w14:textId="74FAE1D7" w:rsidR="00793273" w:rsidRDefault="00793273" w:rsidP="00793273">
      <w:pPr>
        <w:pStyle w:val="Heading3"/>
        <w:rPr>
          <w:lang w:val="en-US"/>
        </w:rPr>
      </w:pPr>
      <w:r>
        <w:rPr>
          <w:lang w:val="en-US"/>
        </w:rPr>
        <w:t>Summary</w:t>
      </w:r>
    </w:p>
    <w:p w14:paraId="40B8D671" w14:textId="0D942917" w:rsidR="00DE392A" w:rsidRDefault="006F00C4">
      <w:pPr>
        <w:rPr>
          <w:lang w:val="en-US"/>
        </w:rPr>
      </w:pPr>
      <w:r>
        <w:rPr>
          <w:lang w:val="en-US"/>
        </w:rPr>
        <w:t>Using our measure of re-integration, around 30% of KS3 pupils who were on roll in the AP sector in 2021/22 were found to have been re-integrated into mainstream schools the following year.</w:t>
      </w:r>
    </w:p>
    <w:p w14:paraId="07F91B05" w14:textId="24AD3E3C" w:rsidR="006F00C4" w:rsidRDefault="006F00C4">
      <w:pPr>
        <w:rPr>
          <w:lang w:val="en-US"/>
        </w:rPr>
      </w:pPr>
      <w:r>
        <w:rPr>
          <w:lang w:val="en-US"/>
        </w:rPr>
        <w:t>At present, our measure is based upon being observed to be continuously enrolled at a state-funded mainstream school without any overlapping spells at state-funded AP schools or in alternative provision outside the state-funded sector where the local authority is paying fees.</w:t>
      </w:r>
    </w:p>
    <w:p w14:paraId="55565D80" w14:textId="7FA7D031" w:rsidR="006F00C4" w:rsidRDefault="006F00C4">
      <w:pPr>
        <w:rPr>
          <w:lang w:val="en-US"/>
        </w:rPr>
      </w:pPr>
      <w:r>
        <w:rPr>
          <w:lang w:val="en-US"/>
        </w:rPr>
        <w:t xml:space="preserve">One development we would like to make in future is to discount any overlapping spells at independent AP settings arranged (and paid for) by the mainstream school. This data is now collected via School Census but was unavailable to us for the purposes of this exercise. It may also be possible to infer this using </w:t>
      </w:r>
      <w:hyperlink r:id="rId12" w:history="1">
        <w:r w:rsidRPr="00E219BD">
          <w:rPr>
            <w:rStyle w:val="Hyperlink"/>
            <w:lang w:val="en-US"/>
          </w:rPr>
          <w:t xml:space="preserve">“code B” </w:t>
        </w:r>
        <w:r w:rsidR="00E219BD">
          <w:rPr>
            <w:rStyle w:val="Hyperlink"/>
            <w:lang w:val="en-US"/>
          </w:rPr>
          <w:t xml:space="preserve">(educated off-site) </w:t>
        </w:r>
        <w:r w:rsidRPr="00E219BD">
          <w:rPr>
            <w:rStyle w:val="Hyperlink"/>
            <w:lang w:val="en-US"/>
          </w:rPr>
          <w:t>attendance codes</w:t>
        </w:r>
      </w:hyperlink>
      <w:r>
        <w:rPr>
          <w:lang w:val="en-US"/>
        </w:rPr>
        <w:t>.</w:t>
      </w:r>
    </w:p>
    <w:p w14:paraId="21F8AB61" w14:textId="77777777" w:rsidR="009C0861" w:rsidRPr="00D72ACA" w:rsidRDefault="009C0861">
      <w:pPr>
        <w:rPr>
          <w:lang w:val="en-US"/>
        </w:rPr>
      </w:pPr>
    </w:p>
    <w:sectPr w:rsidR="009C0861" w:rsidRPr="00D72A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50835"/>
    <w:multiLevelType w:val="hybridMultilevel"/>
    <w:tmpl w:val="337ED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472E89"/>
    <w:multiLevelType w:val="hybridMultilevel"/>
    <w:tmpl w:val="06648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0376248">
    <w:abstractNumId w:val="0"/>
  </w:num>
  <w:num w:numId="2" w16cid:durableId="282273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CA"/>
    <w:rsid w:val="00034D6C"/>
    <w:rsid w:val="0003599A"/>
    <w:rsid w:val="000D5599"/>
    <w:rsid w:val="00116DDA"/>
    <w:rsid w:val="00206F20"/>
    <w:rsid w:val="00223B75"/>
    <w:rsid w:val="00260664"/>
    <w:rsid w:val="00272B16"/>
    <w:rsid w:val="002A3D9A"/>
    <w:rsid w:val="002C226A"/>
    <w:rsid w:val="002C4666"/>
    <w:rsid w:val="003F5842"/>
    <w:rsid w:val="00412AE3"/>
    <w:rsid w:val="00435BAB"/>
    <w:rsid w:val="00514995"/>
    <w:rsid w:val="006830E7"/>
    <w:rsid w:val="00683224"/>
    <w:rsid w:val="006A63FD"/>
    <w:rsid w:val="006F00C4"/>
    <w:rsid w:val="007420C0"/>
    <w:rsid w:val="00793273"/>
    <w:rsid w:val="00846564"/>
    <w:rsid w:val="0087291D"/>
    <w:rsid w:val="008D5759"/>
    <w:rsid w:val="009C0861"/>
    <w:rsid w:val="009F6D6E"/>
    <w:rsid w:val="00A300A6"/>
    <w:rsid w:val="00B41B18"/>
    <w:rsid w:val="00C21396"/>
    <w:rsid w:val="00C24132"/>
    <w:rsid w:val="00C2510B"/>
    <w:rsid w:val="00C80EEC"/>
    <w:rsid w:val="00CB378E"/>
    <w:rsid w:val="00CD2E8B"/>
    <w:rsid w:val="00D30C3A"/>
    <w:rsid w:val="00D72ACA"/>
    <w:rsid w:val="00DE0E65"/>
    <w:rsid w:val="00DE392A"/>
    <w:rsid w:val="00E219BD"/>
    <w:rsid w:val="00E23A0F"/>
    <w:rsid w:val="00E27C38"/>
    <w:rsid w:val="00F92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15725"/>
  <w15:chartTrackingRefBased/>
  <w15:docId w15:val="{4FF24715-D9C1-4BFD-A604-6F2C1CD9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A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2A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72A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AC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72AC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72ACA"/>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27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291D"/>
    <w:rPr>
      <w:sz w:val="16"/>
      <w:szCs w:val="16"/>
    </w:rPr>
  </w:style>
  <w:style w:type="paragraph" w:styleId="CommentText">
    <w:name w:val="annotation text"/>
    <w:basedOn w:val="Normal"/>
    <w:link w:val="CommentTextChar"/>
    <w:uiPriority w:val="99"/>
    <w:semiHidden/>
    <w:unhideWhenUsed/>
    <w:rsid w:val="0087291D"/>
    <w:pPr>
      <w:spacing w:line="240" w:lineRule="auto"/>
    </w:pPr>
    <w:rPr>
      <w:sz w:val="20"/>
      <w:szCs w:val="20"/>
    </w:rPr>
  </w:style>
  <w:style w:type="character" w:customStyle="1" w:styleId="CommentTextChar">
    <w:name w:val="Comment Text Char"/>
    <w:basedOn w:val="DefaultParagraphFont"/>
    <w:link w:val="CommentText"/>
    <w:uiPriority w:val="99"/>
    <w:semiHidden/>
    <w:rsid w:val="0087291D"/>
    <w:rPr>
      <w:sz w:val="20"/>
      <w:szCs w:val="20"/>
    </w:rPr>
  </w:style>
  <w:style w:type="paragraph" w:styleId="CommentSubject">
    <w:name w:val="annotation subject"/>
    <w:basedOn w:val="CommentText"/>
    <w:next w:val="CommentText"/>
    <w:link w:val="CommentSubjectChar"/>
    <w:uiPriority w:val="99"/>
    <w:semiHidden/>
    <w:unhideWhenUsed/>
    <w:rsid w:val="0087291D"/>
    <w:rPr>
      <w:b/>
      <w:bCs/>
    </w:rPr>
  </w:style>
  <w:style w:type="character" w:customStyle="1" w:styleId="CommentSubjectChar">
    <w:name w:val="Comment Subject Char"/>
    <w:basedOn w:val="CommentTextChar"/>
    <w:link w:val="CommentSubject"/>
    <w:uiPriority w:val="99"/>
    <w:semiHidden/>
    <w:rsid w:val="0087291D"/>
    <w:rPr>
      <w:b/>
      <w:bCs/>
      <w:sz w:val="20"/>
      <w:szCs w:val="20"/>
    </w:rPr>
  </w:style>
  <w:style w:type="paragraph" w:styleId="ListParagraph">
    <w:name w:val="List Paragraph"/>
    <w:basedOn w:val="Normal"/>
    <w:uiPriority w:val="34"/>
    <w:qFormat/>
    <w:rsid w:val="00206F20"/>
    <w:pPr>
      <w:ind w:left="720"/>
      <w:contextualSpacing/>
    </w:pPr>
  </w:style>
  <w:style w:type="character" w:styleId="Hyperlink">
    <w:name w:val="Hyperlink"/>
    <w:basedOn w:val="DefaultParagraphFont"/>
    <w:uiPriority w:val="99"/>
    <w:unhideWhenUsed/>
    <w:rsid w:val="00B41B18"/>
    <w:rPr>
      <w:color w:val="0563C1" w:themeColor="hyperlink"/>
      <w:u w:val="single"/>
    </w:rPr>
  </w:style>
  <w:style w:type="character" w:styleId="UnresolvedMention">
    <w:name w:val="Unresolved Mention"/>
    <w:basedOn w:val="DefaultParagraphFont"/>
    <w:uiPriority w:val="99"/>
    <w:semiHidden/>
    <w:unhideWhenUsed/>
    <w:rsid w:val="00B41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fteducationdatalab.org.uk/wp-content/uploads/2024/03/partc.docx" TargetMode="External"/><Relationship Id="rId12" Type="http://schemas.openxmlformats.org/officeDocument/2006/relationships/hyperlink" Target="https://ffteducationdatalab.org.uk/2023/03/attendance-code-b-not-absent-but-not-present-at-sch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fteducationdatalab.org.uk/2023/12/progress-5-a-performance-indicator-for-ap-and-special-schools/" TargetMode="External"/><Relationship Id="rId11" Type="http://schemas.openxmlformats.org/officeDocument/2006/relationships/hyperlink" Target="https://ffteducationdatalab.org.uk/wp-content/uploads/2025/03/Annex.xlsx" TargetMode="External"/><Relationship Id="rId5" Type="http://schemas.openxmlformats.org/officeDocument/2006/relationships/hyperlink" Target="https://ffteducationdatalab.org.uk/wp-content/uploads/2024/03/parta.docx"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2157</TotalTime>
  <Pages>4</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Thomson - Project 18</dc:creator>
  <cp:keywords/>
  <dc:description/>
  <cp:lastModifiedBy>Dave Thomson</cp:lastModifiedBy>
  <cp:revision>17</cp:revision>
  <dcterms:created xsi:type="dcterms:W3CDTF">2023-10-04T12:52:00Z</dcterms:created>
  <dcterms:modified xsi:type="dcterms:W3CDTF">2025-03-24T08:57:00Z</dcterms:modified>
</cp:coreProperties>
</file>